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9" w:lineRule="auto"/>
        <w:ind w:right="3639" w:firstLine="0"/>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keepNext w:val="0"/>
        <w:keepLines w:val="0"/>
        <w:pageBreakBefore w:val="0"/>
        <w:widowControl/>
        <w:kinsoku/>
        <w:wordWrap/>
        <w:overflowPunct/>
        <w:topLinePunct w:val="0"/>
        <w:autoSpaceDE/>
        <w:autoSpaceDN/>
        <w:bidi w:val="0"/>
        <w:adjustRightInd/>
        <w:snapToGrid/>
        <w:spacing w:line="560" w:lineRule="exact"/>
        <w:ind w:right="0" w:firstLine="0"/>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海南大学书院志愿服务指标体系</w:t>
      </w:r>
    </w:p>
    <w:tbl>
      <w:tblPr>
        <w:tblStyle w:val="5"/>
        <w:tblW w:w="13831" w:type="dxa"/>
        <w:jc w:val="center"/>
        <w:tblLayout w:type="autofit"/>
        <w:tblCellMar>
          <w:top w:w="32" w:type="dxa"/>
          <w:left w:w="4" w:type="dxa"/>
          <w:bottom w:w="31" w:type="dxa"/>
          <w:right w:w="22" w:type="dxa"/>
        </w:tblCellMar>
      </w:tblPr>
      <w:tblGrid>
        <w:gridCol w:w="69"/>
        <w:gridCol w:w="1007"/>
        <w:gridCol w:w="413"/>
        <w:gridCol w:w="9"/>
        <w:gridCol w:w="69"/>
        <w:gridCol w:w="3217"/>
        <w:gridCol w:w="9"/>
        <w:gridCol w:w="69"/>
        <w:gridCol w:w="504"/>
        <w:gridCol w:w="9"/>
        <w:gridCol w:w="69"/>
        <w:gridCol w:w="1397"/>
        <w:gridCol w:w="9"/>
        <w:gridCol w:w="60"/>
        <w:gridCol w:w="3398"/>
        <w:gridCol w:w="9"/>
        <w:gridCol w:w="69"/>
        <w:gridCol w:w="3376"/>
        <w:gridCol w:w="69"/>
      </w:tblGrid>
      <w:tr>
        <w:tblPrEx>
          <w:tblCellMar>
            <w:top w:w="32" w:type="dxa"/>
            <w:left w:w="4" w:type="dxa"/>
            <w:bottom w:w="31" w:type="dxa"/>
            <w:right w:w="22" w:type="dxa"/>
          </w:tblCellMar>
        </w:tblPrEx>
        <w:trPr>
          <w:gridBefore w:val="1"/>
          <w:wBefore w:w="69" w:type="dxa"/>
          <w:trHeight w:val="981" w:hRule="atLeast"/>
          <w:jc w:val="center"/>
        </w:trPr>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center"/>
              <w:rPr>
                <w:rFonts w:hint="eastAsia" w:ascii="仿宋_GB2312" w:hAnsi="仿宋_GB2312" w:eastAsia="仿宋_GB2312" w:cs="仿宋_GB2312"/>
                <w:b/>
                <w:bCs w:val="0"/>
                <w:color w:val="000000"/>
                <w:sz w:val="28"/>
                <w:szCs w:val="28"/>
                <w:lang w:val="en-US" w:eastAsia="zh-CN"/>
              </w:rPr>
            </w:pPr>
            <w:r>
              <w:rPr>
                <w:rFonts w:hint="eastAsia" w:ascii="仿宋_GB2312" w:hAnsi="仿宋_GB2312" w:eastAsia="仿宋_GB2312" w:cs="仿宋_GB2312"/>
                <w:b/>
                <w:bCs w:val="0"/>
                <w:color w:val="000000"/>
                <w:sz w:val="28"/>
                <w:szCs w:val="28"/>
                <w:lang w:val="en-US" w:eastAsia="zh-CN"/>
              </w:rPr>
              <w:t>一级</w:t>
            </w:r>
          </w:p>
          <w:p>
            <w:pPr>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center"/>
              <w:rPr>
                <w:rFonts w:hint="default" w:ascii="仿宋_GB2312" w:hAnsi="仿宋_GB2312" w:eastAsia="仿宋_GB2312" w:cs="仿宋_GB2312"/>
                <w:b/>
                <w:bCs w:val="0"/>
                <w:color w:val="000000"/>
                <w:sz w:val="28"/>
                <w:szCs w:val="28"/>
                <w:lang w:val="en-US" w:eastAsia="zh-CN"/>
              </w:rPr>
            </w:pPr>
            <w:r>
              <w:rPr>
                <w:rFonts w:hint="eastAsia" w:ascii="仿宋_GB2312" w:hAnsi="仿宋_GB2312" w:eastAsia="仿宋_GB2312" w:cs="仿宋_GB2312"/>
                <w:b/>
                <w:bCs w:val="0"/>
                <w:color w:val="000000"/>
                <w:sz w:val="28"/>
                <w:szCs w:val="28"/>
                <w:lang w:val="en-US" w:eastAsia="zh-CN"/>
              </w:rPr>
              <w:t>指标</w:t>
            </w:r>
          </w:p>
        </w:tc>
        <w:tc>
          <w:tcPr>
            <w:tcW w:w="3786"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center"/>
              <w:rPr>
                <w:rFonts w:hint="eastAsia" w:ascii="仿宋_GB2312" w:hAnsi="仿宋_GB2312" w:eastAsia="仿宋_GB2312" w:cs="仿宋_GB2312"/>
                <w:b/>
                <w:bCs w:val="0"/>
                <w:color w:val="000000"/>
                <w:sz w:val="28"/>
                <w:szCs w:val="28"/>
              </w:rPr>
            </w:pPr>
            <w:r>
              <w:rPr>
                <w:rFonts w:hint="eastAsia" w:ascii="仿宋_GB2312" w:hAnsi="仿宋_GB2312" w:eastAsia="仿宋_GB2312" w:cs="仿宋_GB2312"/>
                <w:b/>
                <w:bCs w:val="0"/>
                <w:color w:val="000000"/>
                <w:sz w:val="28"/>
                <w:szCs w:val="28"/>
              </w:rPr>
              <w:t>二级指标</w:t>
            </w:r>
          </w:p>
        </w:tc>
        <w:tc>
          <w:tcPr>
            <w:tcW w:w="58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center"/>
              <w:rPr>
                <w:rFonts w:hint="eastAsia" w:ascii="仿宋_GB2312" w:hAnsi="仿宋_GB2312" w:eastAsia="仿宋_GB2312" w:cs="仿宋_GB2312"/>
                <w:b/>
                <w:bCs w:val="0"/>
                <w:color w:val="000000"/>
                <w:sz w:val="28"/>
                <w:szCs w:val="28"/>
              </w:rPr>
            </w:pPr>
            <w:r>
              <w:rPr>
                <w:rFonts w:hint="eastAsia" w:ascii="仿宋_GB2312" w:hAnsi="仿宋_GB2312" w:eastAsia="仿宋_GB2312" w:cs="仿宋_GB2312"/>
                <w:b/>
                <w:bCs w:val="0"/>
                <w:color w:val="000000"/>
                <w:sz w:val="28"/>
                <w:szCs w:val="28"/>
              </w:rPr>
              <w:t>赋值</w:t>
            </w:r>
          </w:p>
        </w:tc>
        <w:tc>
          <w:tcPr>
            <w:tcW w:w="146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center"/>
              <w:rPr>
                <w:rFonts w:hint="eastAsia" w:ascii="仿宋_GB2312" w:hAnsi="仿宋_GB2312" w:eastAsia="仿宋_GB2312" w:cs="仿宋_GB2312"/>
                <w:b/>
                <w:bCs w:val="0"/>
                <w:color w:val="000000"/>
                <w:sz w:val="28"/>
                <w:szCs w:val="28"/>
              </w:rPr>
            </w:pPr>
            <w:r>
              <w:rPr>
                <w:rFonts w:hint="eastAsia" w:ascii="仿宋_GB2312" w:hAnsi="仿宋_GB2312" w:eastAsia="仿宋_GB2312" w:cs="仿宋_GB2312"/>
                <w:b/>
                <w:bCs w:val="0"/>
                <w:color w:val="000000"/>
                <w:sz w:val="28"/>
                <w:szCs w:val="28"/>
              </w:rPr>
              <w:t>赋分方式</w:t>
            </w:r>
          </w:p>
        </w:tc>
        <w:tc>
          <w:tcPr>
            <w:tcW w:w="347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center"/>
              <w:rPr>
                <w:rFonts w:hint="eastAsia" w:ascii="仿宋_GB2312" w:hAnsi="仿宋_GB2312" w:eastAsia="仿宋_GB2312" w:cs="仿宋_GB2312"/>
                <w:b/>
                <w:bCs w:val="0"/>
                <w:color w:val="000000"/>
                <w:sz w:val="28"/>
                <w:szCs w:val="28"/>
              </w:rPr>
            </w:pPr>
            <w:r>
              <w:rPr>
                <w:rFonts w:hint="eastAsia" w:ascii="仿宋_GB2312" w:hAnsi="仿宋_GB2312" w:eastAsia="仿宋_GB2312" w:cs="仿宋_GB2312"/>
                <w:b/>
                <w:bCs w:val="0"/>
                <w:color w:val="000000"/>
                <w:sz w:val="28"/>
                <w:szCs w:val="28"/>
              </w:rPr>
              <w:t>指标释义</w:t>
            </w:r>
          </w:p>
        </w:tc>
        <w:tc>
          <w:tcPr>
            <w:tcW w:w="34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center"/>
              <w:rPr>
                <w:rFonts w:hint="eastAsia" w:ascii="仿宋_GB2312" w:hAnsi="仿宋_GB2312" w:eastAsia="仿宋_GB2312" w:cs="仿宋_GB2312"/>
                <w:b/>
                <w:bCs w:val="0"/>
                <w:color w:val="000000"/>
                <w:sz w:val="28"/>
                <w:szCs w:val="28"/>
              </w:rPr>
            </w:pPr>
            <w:r>
              <w:rPr>
                <w:rFonts w:hint="eastAsia" w:ascii="仿宋_GB2312" w:hAnsi="仿宋_GB2312" w:eastAsia="仿宋_GB2312" w:cs="仿宋_GB2312"/>
                <w:b/>
                <w:bCs w:val="0"/>
                <w:color w:val="000000"/>
                <w:sz w:val="28"/>
                <w:szCs w:val="28"/>
              </w:rPr>
              <w:t>佐证材料</w:t>
            </w:r>
          </w:p>
        </w:tc>
      </w:tr>
      <w:tr>
        <w:tblPrEx>
          <w:tblCellMar>
            <w:top w:w="32" w:type="dxa"/>
            <w:left w:w="4" w:type="dxa"/>
            <w:bottom w:w="31" w:type="dxa"/>
            <w:right w:w="22" w:type="dxa"/>
          </w:tblCellMar>
        </w:tblPrEx>
        <w:trPr>
          <w:gridBefore w:val="1"/>
          <w:wBefore w:w="69" w:type="dxa"/>
          <w:trHeight w:val="981" w:hRule="atLeast"/>
          <w:jc w:val="center"/>
        </w:trPr>
        <w:tc>
          <w:tcPr>
            <w:tcW w:w="1007" w:type="dxa"/>
            <w:vMerge w:val="restart"/>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lang w:val="en-US" w:eastAsia="zh-CN"/>
              </w:rPr>
              <w:t>一、</w:t>
            </w:r>
            <w:r>
              <w:rPr>
                <w:rFonts w:hint="eastAsia" w:ascii="仿宋_GB2312" w:hAnsi="仿宋_GB2312" w:eastAsia="仿宋_GB2312" w:cs="仿宋_GB2312"/>
                <w:b/>
                <w:bCs/>
                <w:sz w:val="20"/>
                <w:szCs w:val="20"/>
              </w:rPr>
              <w:t>书院志愿服务</w:t>
            </w:r>
          </w:p>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b/>
                <w:bCs/>
                <w:sz w:val="20"/>
                <w:szCs w:val="20"/>
              </w:rPr>
              <w:t>参与</w:t>
            </w:r>
          </w:p>
        </w:tc>
        <w:tc>
          <w:tcPr>
            <w:tcW w:w="491" w:type="dxa"/>
            <w:gridSpan w:val="3"/>
            <w:tcBorders>
              <w:top w:val="single" w:color="auto"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w:t>
            </w:r>
          </w:p>
        </w:tc>
        <w:tc>
          <w:tcPr>
            <w:tcW w:w="3295" w:type="dxa"/>
            <w:gridSpan w:val="3"/>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学生注册志愿者人数占全院学生</w:t>
            </w:r>
          </w:p>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的比例</w:t>
            </w:r>
          </w:p>
        </w:tc>
        <w:tc>
          <w:tcPr>
            <w:tcW w:w="58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40</w:t>
            </w:r>
          </w:p>
        </w:tc>
        <w:tc>
          <w:tcPr>
            <w:tcW w:w="146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按基准值赋分</w:t>
            </w:r>
          </w:p>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（百分比）</w:t>
            </w:r>
          </w:p>
        </w:tc>
        <w:tc>
          <w:tcPr>
            <w:tcW w:w="347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34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提供注册志愿者名单</w:t>
            </w:r>
          </w:p>
        </w:tc>
      </w:tr>
      <w:tr>
        <w:tblPrEx>
          <w:tblCellMar>
            <w:top w:w="32" w:type="dxa"/>
            <w:left w:w="4" w:type="dxa"/>
            <w:bottom w:w="31" w:type="dxa"/>
            <w:right w:w="22" w:type="dxa"/>
          </w:tblCellMar>
        </w:tblPrEx>
        <w:trPr>
          <w:gridBefore w:val="1"/>
          <w:wBefore w:w="69" w:type="dxa"/>
          <w:trHeight w:val="90" w:hRule="atLeast"/>
          <w:jc w:val="center"/>
        </w:trPr>
        <w:tc>
          <w:tcPr>
            <w:tcW w:w="1007" w:type="dxa"/>
            <w:vMerge w:val="continue"/>
            <w:tcBorders>
              <w:top w:val="nil"/>
              <w:left w:val="single" w:color="auto"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p>
        </w:tc>
        <w:tc>
          <w:tcPr>
            <w:tcW w:w="491" w:type="dxa"/>
            <w:gridSpan w:val="3"/>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w:t>
            </w:r>
          </w:p>
        </w:tc>
        <w:tc>
          <w:tcPr>
            <w:tcW w:w="3295" w:type="dxa"/>
            <w:gridSpan w:val="3"/>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校级志愿服务团队数量</w:t>
            </w:r>
          </w:p>
        </w:tc>
        <w:tc>
          <w:tcPr>
            <w:tcW w:w="58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12</w:t>
            </w:r>
          </w:p>
        </w:tc>
        <w:tc>
          <w:tcPr>
            <w:tcW w:w="146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直接赋分</w:t>
            </w:r>
          </w:p>
        </w:tc>
        <w:tc>
          <w:tcPr>
            <w:tcW w:w="347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“校级志愿服务团队”特指提出申请并经校青协正式批准成立、以开展志愿服务活动为主的志愿服务队。</w:t>
            </w:r>
          </w:p>
        </w:tc>
        <w:tc>
          <w:tcPr>
            <w:tcW w:w="34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校青协提供名册</w:t>
            </w:r>
          </w:p>
        </w:tc>
      </w:tr>
      <w:tr>
        <w:tblPrEx>
          <w:tblCellMar>
            <w:top w:w="32" w:type="dxa"/>
            <w:left w:w="4" w:type="dxa"/>
            <w:bottom w:w="31" w:type="dxa"/>
            <w:right w:w="22" w:type="dxa"/>
          </w:tblCellMar>
        </w:tblPrEx>
        <w:trPr>
          <w:gridBefore w:val="1"/>
          <w:wBefore w:w="69" w:type="dxa"/>
          <w:trHeight w:val="660" w:hRule="atLeast"/>
          <w:jc w:val="center"/>
        </w:trPr>
        <w:tc>
          <w:tcPr>
            <w:tcW w:w="1007" w:type="dxa"/>
            <w:vMerge w:val="continue"/>
            <w:tcBorders>
              <w:top w:val="nil"/>
              <w:left w:val="single" w:color="auto"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p>
        </w:tc>
        <w:tc>
          <w:tcPr>
            <w:tcW w:w="491" w:type="dxa"/>
            <w:gridSpan w:val="3"/>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w:t>
            </w:r>
          </w:p>
        </w:tc>
        <w:tc>
          <w:tcPr>
            <w:tcW w:w="3295" w:type="dxa"/>
            <w:gridSpan w:val="3"/>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上一年度注册志愿者人均志愿</w:t>
            </w:r>
          </w:p>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服务时长</w:t>
            </w:r>
          </w:p>
        </w:tc>
        <w:tc>
          <w:tcPr>
            <w:tcW w:w="58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40</w:t>
            </w:r>
          </w:p>
        </w:tc>
        <w:tc>
          <w:tcPr>
            <w:tcW w:w="146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按基准值赋分</w:t>
            </w:r>
          </w:p>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（平均值）</w:t>
            </w:r>
          </w:p>
        </w:tc>
        <w:tc>
          <w:tcPr>
            <w:tcW w:w="347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“志愿服务时长”特指志愿者实际提供的以小时为计量单位的服务时长。</w:t>
            </w:r>
          </w:p>
        </w:tc>
        <w:tc>
          <w:tcPr>
            <w:tcW w:w="34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提供注册志愿者志愿服务时长记录等相关证明。</w:t>
            </w:r>
          </w:p>
        </w:tc>
      </w:tr>
      <w:tr>
        <w:tblPrEx>
          <w:tblCellMar>
            <w:top w:w="32" w:type="dxa"/>
            <w:left w:w="4" w:type="dxa"/>
            <w:bottom w:w="31" w:type="dxa"/>
            <w:right w:w="22" w:type="dxa"/>
          </w:tblCellMar>
        </w:tblPrEx>
        <w:trPr>
          <w:gridBefore w:val="1"/>
          <w:wBefore w:w="69" w:type="dxa"/>
          <w:trHeight w:val="1309" w:hRule="atLeast"/>
          <w:jc w:val="center"/>
        </w:trPr>
        <w:tc>
          <w:tcPr>
            <w:tcW w:w="1007" w:type="dxa"/>
            <w:vMerge w:val="continue"/>
            <w:tcBorders>
              <w:top w:val="nil"/>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p>
        </w:tc>
        <w:tc>
          <w:tcPr>
            <w:tcW w:w="491" w:type="dxa"/>
            <w:gridSpan w:val="3"/>
            <w:tcBorders>
              <w:top w:val="single" w:color="000000"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w:t>
            </w:r>
          </w:p>
        </w:tc>
        <w:tc>
          <w:tcPr>
            <w:tcW w:w="3295" w:type="dxa"/>
            <w:gridSpan w:val="3"/>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以所学专业或专业特色为基础的</w:t>
            </w:r>
          </w:p>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志愿服务团队数</w:t>
            </w:r>
          </w:p>
        </w:tc>
        <w:tc>
          <w:tcPr>
            <w:tcW w:w="58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12</w:t>
            </w:r>
          </w:p>
        </w:tc>
        <w:tc>
          <w:tcPr>
            <w:tcW w:w="146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按基准值赋分</w:t>
            </w:r>
          </w:p>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（最高最低值）</w:t>
            </w:r>
          </w:p>
        </w:tc>
        <w:tc>
          <w:tcPr>
            <w:tcW w:w="347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特指志愿服务活动或者项目的主要内容与志愿服务团队多数成员所学专业紧密相关，如主要开展义诊志愿服务的医学类志愿服务团队。</w:t>
            </w:r>
          </w:p>
        </w:tc>
        <w:tc>
          <w:tcPr>
            <w:tcW w:w="34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提供志愿服务团队及其成员名册（含所学专业）及其开展的主要项目简介。</w:t>
            </w:r>
          </w:p>
        </w:tc>
      </w:tr>
      <w:tr>
        <w:tblPrEx>
          <w:tblCellMar>
            <w:top w:w="32" w:type="dxa"/>
            <w:left w:w="4" w:type="dxa"/>
            <w:bottom w:w="31" w:type="dxa"/>
            <w:right w:w="22" w:type="dxa"/>
          </w:tblCellMar>
        </w:tblPrEx>
        <w:trPr>
          <w:gridBefore w:val="1"/>
          <w:wBefore w:w="69" w:type="dxa"/>
          <w:trHeight w:val="643" w:hRule="atLeast"/>
          <w:jc w:val="center"/>
        </w:trPr>
        <w:tc>
          <w:tcPr>
            <w:tcW w:w="1007"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p>
        </w:tc>
        <w:tc>
          <w:tcPr>
            <w:tcW w:w="491" w:type="dxa"/>
            <w:gridSpan w:val="3"/>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w:t>
            </w:r>
          </w:p>
        </w:tc>
        <w:tc>
          <w:tcPr>
            <w:tcW w:w="329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上一年度参加1次及以上活动的注册志愿者人数占所有注册志愿者的比例</w:t>
            </w:r>
          </w:p>
        </w:tc>
        <w:tc>
          <w:tcPr>
            <w:tcW w:w="58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w:t>
            </w:r>
          </w:p>
        </w:tc>
        <w:tc>
          <w:tcPr>
            <w:tcW w:w="146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hanging="134"/>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按基准值赋分</w:t>
            </w:r>
          </w:p>
          <w:p>
            <w:pPr>
              <w:keepNext w:val="0"/>
              <w:keepLines w:val="0"/>
              <w:pageBreakBefore w:val="0"/>
              <w:widowControl/>
              <w:kinsoku/>
              <w:wordWrap/>
              <w:overflowPunct/>
              <w:topLinePunct w:val="0"/>
              <w:autoSpaceDE/>
              <w:autoSpaceDN/>
              <w:bidi w:val="0"/>
              <w:adjustRightInd/>
              <w:snapToGrid/>
              <w:spacing w:line="240" w:lineRule="auto"/>
              <w:ind w:left="0" w:right="0" w:hanging="134"/>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（百分比）</w:t>
            </w:r>
          </w:p>
        </w:tc>
        <w:tc>
          <w:tcPr>
            <w:tcW w:w="347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34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提供有服务记录的注册志愿者名单。</w:t>
            </w:r>
          </w:p>
        </w:tc>
      </w:tr>
      <w:tr>
        <w:tblPrEx>
          <w:tblCellMar>
            <w:top w:w="32" w:type="dxa"/>
            <w:left w:w="4" w:type="dxa"/>
            <w:bottom w:w="31" w:type="dxa"/>
            <w:right w:w="22" w:type="dxa"/>
          </w:tblCellMar>
        </w:tblPrEx>
        <w:trPr>
          <w:gridAfter w:val="1"/>
          <w:wAfter w:w="69" w:type="dxa"/>
          <w:trHeight w:val="1938" w:hRule="atLeast"/>
          <w:jc w:val="center"/>
        </w:trPr>
        <w:tc>
          <w:tcPr>
            <w:tcW w:w="1076" w:type="dxa"/>
            <w:gridSpan w:val="2"/>
            <w:vMerge w:val="restart"/>
            <w:tcBorders>
              <w:top w:val="single" w:color="000000" w:sz="4" w:space="0"/>
              <w:left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lang w:val="en-US" w:eastAsia="zh-CN"/>
              </w:rPr>
              <w:t>二、</w:t>
            </w:r>
            <w:r>
              <w:rPr>
                <w:rFonts w:hint="eastAsia" w:ascii="仿宋_GB2312" w:hAnsi="仿宋_GB2312" w:eastAsia="仿宋_GB2312" w:cs="仿宋_GB2312"/>
                <w:b/>
                <w:bCs/>
                <w:sz w:val="20"/>
                <w:szCs w:val="20"/>
              </w:rPr>
              <w:t>书院志愿服务</w:t>
            </w:r>
          </w:p>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b/>
                <w:bCs/>
                <w:sz w:val="20"/>
                <w:szCs w:val="20"/>
              </w:rPr>
              <w:t>项目</w:t>
            </w: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w:t>
            </w:r>
          </w:p>
        </w:tc>
        <w:tc>
          <w:tcPr>
            <w:tcW w:w="3295" w:type="dxa"/>
            <w:gridSpan w:val="3"/>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上一年度全院开展的志愿服务项目</w:t>
            </w:r>
          </w:p>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千人拥有量</w:t>
            </w:r>
          </w:p>
        </w:tc>
        <w:tc>
          <w:tcPr>
            <w:tcW w:w="582" w:type="dxa"/>
            <w:gridSpan w:val="3"/>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12</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134"/>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按基准值赋分（最高最低值）</w:t>
            </w:r>
          </w:p>
        </w:tc>
        <w:tc>
          <w:tcPr>
            <w:tcW w:w="3476" w:type="dxa"/>
            <w:gridSpan w:val="4"/>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“全校开展的志愿服务项目”特指全院各团支部、学生组织、社团等开展的志愿服务项目（需持续1年以上或开展3次以上）；“千人拥有量”特指全院每千人拥有的项目数量，即项目总数/在校生人数*1000。</w:t>
            </w:r>
          </w:p>
        </w:tc>
        <w:tc>
          <w:tcPr>
            <w:tcW w:w="3445" w:type="dxa"/>
            <w:gridSpan w:val="2"/>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提供志愿服务项目列表（含开展时间、次数等信息）及相应佐证材料。</w:t>
            </w:r>
          </w:p>
        </w:tc>
      </w:tr>
      <w:tr>
        <w:tblPrEx>
          <w:tblCellMar>
            <w:top w:w="32" w:type="dxa"/>
            <w:left w:w="4" w:type="dxa"/>
            <w:bottom w:w="31" w:type="dxa"/>
            <w:right w:w="22" w:type="dxa"/>
          </w:tblCellMar>
        </w:tblPrEx>
        <w:trPr>
          <w:gridAfter w:val="1"/>
          <w:wAfter w:w="69" w:type="dxa"/>
          <w:trHeight w:val="740" w:hRule="atLeast"/>
          <w:jc w:val="center"/>
        </w:trPr>
        <w:tc>
          <w:tcPr>
            <w:tcW w:w="1076" w:type="dxa"/>
            <w:gridSpan w:val="2"/>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7</w:t>
            </w:r>
          </w:p>
        </w:tc>
        <w:tc>
          <w:tcPr>
            <w:tcW w:w="3295" w:type="dxa"/>
            <w:gridSpan w:val="3"/>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校级品牌志愿服务项目数</w:t>
            </w:r>
          </w:p>
        </w:tc>
        <w:tc>
          <w:tcPr>
            <w:tcW w:w="582" w:type="dxa"/>
            <w:gridSpan w:val="3"/>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40</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按基准值赋分</w:t>
            </w:r>
          </w:p>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（最高最低值）</w:t>
            </w:r>
          </w:p>
        </w:tc>
        <w:tc>
          <w:tcPr>
            <w:tcW w:w="3476" w:type="dxa"/>
            <w:gridSpan w:val="4"/>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特指被列入校团委、校青协支持和指导且持续开展3年及以上的志愿服务项目。</w:t>
            </w:r>
          </w:p>
        </w:tc>
        <w:tc>
          <w:tcPr>
            <w:tcW w:w="3445" w:type="dxa"/>
            <w:gridSpan w:val="2"/>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提供志愿服务项目列表（含开展时间、次数等信息）及相应佐证材料。</w:t>
            </w:r>
          </w:p>
        </w:tc>
      </w:tr>
      <w:tr>
        <w:tblPrEx>
          <w:tblCellMar>
            <w:top w:w="84" w:type="dxa"/>
            <w:left w:w="13" w:type="dxa"/>
            <w:bottom w:w="42" w:type="dxa"/>
            <w:right w:w="0" w:type="dxa"/>
          </w:tblCellMar>
        </w:tblPrEx>
        <w:trPr>
          <w:gridAfter w:val="1"/>
          <w:wAfter w:w="69" w:type="dxa"/>
          <w:trHeight w:val="660" w:hRule="atLeast"/>
          <w:jc w:val="center"/>
        </w:trPr>
        <w:tc>
          <w:tcPr>
            <w:tcW w:w="1076" w:type="dxa"/>
            <w:gridSpan w:val="2"/>
            <w:vMerge w:val="continue"/>
            <w:tcBorders>
              <w:left w:val="single" w:color="000000" w:sz="4" w:space="0"/>
              <w:bottom w:val="single" w:color="auto"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p>
        </w:tc>
        <w:tc>
          <w:tcPr>
            <w:tcW w:w="413" w:type="dxa"/>
            <w:tcBorders>
              <w:top w:val="single" w:color="000000" w:sz="4" w:space="0"/>
              <w:left w:val="single" w:color="000000" w:sz="4" w:space="0"/>
              <w:bottom w:val="single" w:color="auto"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8</w:t>
            </w:r>
          </w:p>
        </w:tc>
        <w:tc>
          <w:tcPr>
            <w:tcW w:w="3295" w:type="dxa"/>
            <w:gridSpan w:val="3"/>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与社区合作的志愿服务项目数</w:t>
            </w:r>
          </w:p>
        </w:tc>
        <w:tc>
          <w:tcPr>
            <w:tcW w:w="582" w:type="dxa"/>
            <w:gridSpan w:val="3"/>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按基准值赋分</w:t>
            </w:r>
          </w:p>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（最高最低值）</w:t>
            </w:r>
          </w:p>
        </w:tc>
        <w:tc>
          <w:tcPr>
            <w:tcW w:w="3467" w:type="dxa"/>
            <w:gridSpan w:val="3"/>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积极推动社区实践计划，与城乡社区建立常态化服务机制的志愿服务项目。</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提供项目列表（含项目名称、实施组织、合作社区等信息）。</w:t>
            </w:r>
          </w:p>
        </w:tc>
      </w:tr>
      <w:tr>
        <w:tblPrEx>
          <w:tblCellMar>
            <w:top w:w="84" w:type="dxa"/>
            <w:left w:w="13" w:type="dxa"/>
            <w:bottom w:w="42" w:type="dxa"/>
            <w:right w:w="0" w:type="dxa"/>
          </w:tblCellMar>
        </w:tblPrEx>
        <w:trPr>
          <w:gridAfter w:val="1"/>
          <w:wAfter w:w="69" w:type="dxa"/>
          <w:trHeight w:val="1300" w:hRule="atLeast"/>
          <w:jc w:val="center"/>
        </w:trPr>
        <w:tc>
          <w:tcPr>
            <w:tcW w:w="1076" w:type="dxa"/>
            <w:gridSpan w:val="2"/>
            <w:vMerge w:val="restart"/>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b/>
                <w:bCs/>
                <w:sz w:val="20"/>
                <w:szCs w:val="20"/>
                <w:lang w:val="en-US" w:eastAsia="zh-CN"/>
              </w:rPr>
              <w:t>三、</w:t>
            </w:r>
            <w:r>
              <w:rPr>
                <w:rFonts w:hint="eastAsia" w:ascii="仿宋_GB2312" w:hAnsi="仿宋_GB2312" w:eastAsia="仿宋_GB2312" w:cs="仿宋_GB2312"/>
                <w:b/>
                <w:bCs/>
                <w:sz w:val="20"/>
                <w:szCs w:val="20"/>
              </w:rPr>
              <w:t>书院志愿服务组织管理</w:t>
            </w:r>
          </w:p>
        </w:tc>
        <w:tc>
          <w:tcPr>
            <w:tcW w:w="413" w:type="dxa"/>
            <w:tcBorders>
              <w:top w:val="single" w:color="auto"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9</w:t>
            </w:r>
          </w:p>
        </w:tc>
        <w:tc>
          <w:tcPr>
            <w:tcW w:w="3295" w:type="dxa"/>
            <w:gridSpan w:val="3"/>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院级青年志愿者协会是否建立</w:t>
            </w:r>
          </w:p>
        </w:tc>
        <w:tc>
          <w:tcPr>
            <w:tcW w:w="58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40</w:t>
            </w:r>
          </w:p>
        </w:tc>
        <w:tc>
          <w:tcPr>
            <w:tcW w:w="14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直接赋分</w:t>
            </w:r>
          </w:p>
        </w:tc>
        <w:tc>
          <w:tcPr>
            <w:tcW w:w="346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特指书院团委成立并直接管理的青年志愿者协会，原则上每个书院不超过1个。</w:t>
            </w:r>
          </w:p>
        </w:tc>
        <w:tc>
          <w:tcPr>
            <w:tcW w:w="345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提供院级青年志愿者协会《章程》、组织架构和成员列表等材料。</w:t>
            </w:r>
          </w:p>
        </w:tc>
      </w:tr>
      <w:tr>
        <w:tblPrEx>
          <w:tblCellMar>
            <w:top w:w="84" w:type="dxa"/>
            <w:left w:w="13" w:type="dxa"/>
            <w:bottom w:w="42" w:type="dxa"/>
            <w:right w:w="0" w:type="dxa"/>
          </w:tblCellMar>
        </w:tblPrEx>
        <w:trPr>
          <w:gridAfter w:val="1"/>
          <w:wAfter w:w="69" w:type="dxa"/>
          <w:trHeight w:val="980" w:hRule="atLeast"/>
          <w:jc w:val="center"/>
        </w:trPr>
        <w:tc>
          <w:tcPr>
            <w:tcW w:w="1076" w:type="dxa"/>
            <w:gridSpan w:val="2"/>
            <w:vMerge w:val="continue"/>
            <w:tcBorders>
              <w:top w:val="nil"/>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p>
        </w:tc>
        <w:tc>
          <w:tcPr>
            <w:tcW w:w="413" w:type="dxa"/>
            <w:tcBorders>
              <w:top w:val="single" w:color="000000"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3295" w:type="dxa"/>
            <w:gridSpan w:val="3"/>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上一年度院团委志愿服务干部数量</w:t>
            </w:r>
          </w:p>
        </w:tc>
        <w:tc>
          <w:tcPr>
            <w:tcW w:w="58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12</w:t>
            </w:r>
          </w:p>
        </w:tc>
        <w:tc>
          <w:tcPr>
            <w:tcW w:w="14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按基准值赋分</w:t>
            </w:r>
          </w:p>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（平均值）</w:t>
            </w:r>
          </w:p>
        </w:tc>
        <w:tc>
          <w:tcPr>
            <w:tcW w:w="346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“院团委志愿服务干部”特指受聘于院团委，以组织开展志愿服务作为主要工作的专兼职教师和学生。</w:t>
            </w:r>
          </w:p>
        </w:tc>
        <w:tc>
          <w:tcPr>
            <w:tcW w:w="345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提供名单列表（含姓名、在院团委担任的职务、身份等基本信息）。</w:t>
            </w:r>
          </w:p>
        </w:tc>
      </w:tr>
      <w:tr>
        <w:tblPrEx>
          <w:tblCellMar>
            <w:top w:w="84" w:type="dxa"/>
            <w:left w:w="13" w:type="dxa"/>
            <w:bottom w:w="42" w:type="dxa"/>
            <w:right w:w="0" w:type="dxa"/>
          </w:tblCellMar>
        </w:tblPrEx>
        <w:trPr>
          <w:gridAfter w:val="1"/>
          <w:wAfter w:w="69" w:type="dxa"/>
          <w:trHeight w:val="978" w:hRule="atLeast"/>
          <w:jc w:val="center"/>
        </w:trPr>
        <w:tc>
          <w:tcPr>
            <w:tcW w:w="1076" w:type="dxa"/>
            <w:gridSpan w:val="2"/>
            <w:vMerge w:val="continue"/>
            <w:tcBorders>
              <w:top w:val="single" w:color="auto" w:sz="4" w:space="0"/>
              <w:left w:val="single" w:color="auto"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p>
        </w:tc>
        <w:tc>
          <w:tcPr>
            <w:tcW w:w="413"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11</w:t>
            </w:r>
          </w:p>
        </w:tc>
        <w:tc>
          <w:tcPr>
            <w:tcW w:w="329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上一年度培训骨干注册志愿者人次</w:t>
            </w:r>
          </w:p>
        </w:tc>
        <w:tc>
          <w:tcPr>
            <w:tcW w:w="58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40</w:t>
            </w:r>
          </w:p>
        </w:tc>
        <w:tc>
          <w:tcPr>
            <w:tcW w:w="14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直接赋分</w:t>
            </w:r>
          </w:p>
        </w:tc>
        <w:tc>
          <w:tcPr>
            <w:tcW w:w="346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“骨干注册志愿者”特指书院备案志愿服务团队负责人和志愿服务项目负责人。</w:t>
            </w:r>
          </w:p>
        </w:tc>
        <w:tc>
          <w:tcPr>
            <w:tcW w:w="345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提供培训通知、名单、培训内容及相关报道。</w:t>
            </w:r>
          </w:p>
        </w:tc>
      </w:tr>
      <w:tr>
        <w:tblPrEx>
          <w:tblCellMar>
            <w:top w:w="84" w:type="dxa"/>
            <w:left w:w="13" w:type="dxa"/>
            <w:bottom w:w="42" w:type="dxa"/>
            <w:right w:w="0" w:type="dxa"/>
          </w:tblCellMar>
        </w:tblPrEx>
        <w:trPr>
          <w:gridAfter w:val="1"/>
          <w:wAfter w:w="69" w:type="dxa"/>
          <w:trHeight w:val="1304" w:hRule="atLeast"/>
          <w:jc w:val="center"/>
        </w:trPr>
        <w:tc>
          <w:tcPr>
            <w:tcW w:w="1076" w:type="dxa"/>
            <w:gridSpan w:val="2"/>
            <w:vMerge w:val="continue"/>
            <w:tcBorders>
              <w:top w:val="nil"/>
              <w:left w:val="single" w:color="auto"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p>
        </w:tc>
        <w:tc>
          <w:tcPr>
            <w:tcW w:w="4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12</w:t>
            </w:r>
          </w:p>
        </w:tc>
        <w:tc>
          <w:tcPr>
            <w:tcW w:w="329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上一年度参加培训的注册志愿者人数占全院注册志愿者总人数的比例</w:t>
            </w:r>
          </w:p>
        </w:tc>
        <w:tc>
          <w:tcPr>
            <w:tcW w:w="58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40</w:t>
            </w:r>
          </w:p>
        </w:tc>
        <w:tc>
          <w:tcPr>
            <w:tcW w:w="14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hanging="134"/>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按基准值赋分（平均值）</w:t>
            </w:r>
          </w:p>
        </w:tc>
        <w:tc>
          <w:tcPr>
            <w:tcW w:w="346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特指参加书院及以上单位开展的志愿服务培训，可根据《新时代青年志愿服务培训课程指导大纲》邀请相应专业机构人员作为师资（如消防员、医生等）。</w:t>
            </w:r>
          </w:p>
        </w:tc>
        <w:tc>
          <w:tcPr>
            <w:tcW w:w="345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提供培训列表（培训单位、培训时间、培训人数）。</w:t>
            </w:r>
          </w:p>
        </w:tc>
      </w:tr>
      <w:tr>
        <w:tblPrEx>
          <w:tblCellMar>
            <w:top w:w="84" w:type="dxa"/>
            <w:left w:w="13" w:type="dxa"/>
            <w:bottom w:w="42" w:type="dxa"/>
            <w:right w:w="0" w:type="dxa"/>
          </w:tblCellMar>
        </w:tblPrEx>
        <w:trPr>
          <w:gridAfter w:val="1"/>
          <w:wAfter w:w="69" w:type="dxa"/>
          <w:trHeight w:val="657" w:hRule="atLeast"/>
          <w:jc w:val="center"/>
        </w:trPr>
        <w:tc>
          <w:tcPr>
            <w:tcW w:w="1076" w:type="dxa"/>
            <w:gridSpan w:val="2"/>
            <w:vMerge w:val="continue"/>
            <w:tcBorders>
              <w:top w:val="nil"/>
              <w:left w:val="single" w:color="auto"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p>
        </w:tc>
        <w:tc>
          <w:tcPr>
            <w:tcW w:w="4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13</w:t>
            </w:r>
          </w:p>
        </w:tc>
        <w:tc>
          <w:tcPr>
            <w:tcW w:w="329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上一年度开展的院级志愿服务培训总次数</w:t>
            </w:r>
          </w:p>
        </w:tc>
        <w:tc>
          <w:tcPr>
            <w:tcW w:w="58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w:t>
            </w:r>
          </w:p>
        </w:tc>
        <w:tc>
          <w:tcPr>
            <w:tcW w:w="14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按基准值赋分</w:t>
            </w:r>
          </w:p>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（平均值）</w:t>
            </w:r>
          </w:p>
        </w:tc>
        <w:tc>
          <w:tcPr>
            <w:tcW w:w="346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“总次数”特指上一年度开展院级培训的自然次数。</w:t>
            </w:r>
          </w:p>
        </w:tc>
        <w:tc>
          <w:tcPr>
            <w:tcW w:w="345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提供培训通知、培训名单或相关记录。</w:t>
            </w:r>
          </w:p>
        </w:tc>
      </w:tr>
      <w:tr>
        <w:tblPrEx>
          <w:tblCellMar>
            <w:top w:w="84" w:type="dxa"/>
            <w:left w:w="13" w:type="dxa"/>
            <w:bottom w:w="42" w:type="dxa"/>
            <w:right w:w="0" w:type="dxa"/>
          </w:tblCellMar>
        </w:tblPrEx>
        <w:trPr>
          <w:gridAfter w:val="1"/>
          <w:wAfter w:w="69" w:type="dxa"/>
          <w:trHeight w:val="657" w:hRule="atLeast"/>
          <w:jc w:val="center"/>
        </w:trPr>
        <w:tc>
          <w:tcPr>
            <w:tcW w:w="1076" w:type="dxa"/>
            <w:gridSpan w:val="2"/>
            <w:vMerge w:val="continue"/>
            <w:tcBorders>
              <w:top w:val="nil"/>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p>
        </w:tc>
        <w:tc>
          <w:tcPr>
            <w:tcW w:w="413"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14</w:t>
            </w:r>
          </w:p>
        </w:tc>
        <w:tc>
          <w:tcPr>
            <w:tcW w:w="3295" w:type="dxa"/>
            <w:gridSpan w:val="3"/>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上一年度参与志愿服务管理、教学或指导的教师总人数</w:t>
            </w:r>
          </w:p>
        </w:tc>
        <w:tc>
          <w:tcPr>
            <w:tcW w:w="58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12</w:t>
            </w:r>
          </w:p>
        </w:tc>
        <w:tc>
          <w:tcPr>
            <w:tcW w:w="14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按基准值赋分</w:t>
            </w:r>
          </w:p>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（平均值）</w:t>
            </w:r>
          </w:p>
        </w:tc>
        <w:tc>
          <w:tcPr>
            <w:tcW w:w="346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345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提供参与教师的列表（含姓名、参与类别、具体内容等信息）。</w:t>
            </w:r>
          </w:p>
        </w:tc>
      </w:tr>
      <w:tr>
        <w:tblPrEx>
          <w:tblCellMar>
            <w:top w:w="84" w:type="dxa"/>
            <w:left w:w="13" w:type="dxa"/>
            <w:bottom w:w="42" w:type="dxa"/>
            <w:right w:w="0" w:type="dxa"/>
          </w:tblCellMar>
        </w:tblPrEx>
        <w:trPr>
          <w:gridAfter w:val="1"/>
          <w:wAfter w:w="69" w:type="dxa"/>
          <w:trHeight w:val="1298" w:hRule="atLeast"/>
          <w:jc w:val="center"/>
        </w:trPr>
        <w:tc>
          <w:tcPr>
            <w:tcW w:w="1076" w:type="dxa"/>
            <w:gridSpan w:val="2"/>
            <w:vMerge w:val="restart"/>
            <w:tcBorders>
              <w:top w:val="single" w:color="auto" w:sz="4" w:space="0"/>
              <w:left w:val="single" w:color="auto"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bookmarkStart w:id="1" w:name="_GoBack" w:colFirst="0" w:colLast="4"/>
            <w:r>
              <w:rPr>
                <w:rFonts w:hint="eastAsia" w:ascii="仿宋_GB2312" w:hAnsi="仿宋_GB2312" w:eastAsia="仿宋_GB2312" w:cs="仿宋_GB2312"/>
                <w:b/>
                <w:bCs/>
                <w:sz w:val="20"/>
                <w:szCs w:val="20"/>
                <w:lang w:val="en-US" w:eastAsia="zh-CN"/>
              </w:rPr>
              <w:t>四、</w:t>
            </w:r>
            <w:r>
              <w:rPr>
                <w:rFonts w:hint="eastAsia" w:ascii="仿宋_GB2312" w:hAnsi="仿宋_GB2312" w:eastAsia="仿宋_GB2312" w:cs="仿宋_GB2312"/>
                <w:b/>
                <w:bCs/>
                <w:sz w:val="20"/>
                <w:szCs w:val="20"/>
              </w:rPr>
              <w:t>书院志愿服务制度建设</w:t>
            </w:r>
          </w:p>
        </w:tc>
        <w:tc>
          <w:tcPr>
            <w:tcW w:w="422" w:type="dxa"/>
            <w:gridSpan w:val="2"/>
            <w:tcBorders>
              <w:top w:val="single" w:color="auto"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15</w:t>
            </w:r>
          </w:p>
        </w:tc>
        <w:tc>
          <w:tcPr>
            <w:tcW w:w="3286" w:type="dxa"/>
            <w:gridSpan w:val="2"/>
            <w:tcBorders>
              <w:top w:val="single" w:color="auto" w:sz="4" w:space="0"/>
              <w:left w:val="single" w:color="000000" w:sz="4" w:space="0"/>
              <w:bottom w:val="single" w:color="000000" w:sz="4" w:space="0"/>
              <w:right w:val="single" w:color="auto"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是否设置党委领导的志愿服务工作统筹协调机制</w:t>
            </w:r>
          </w:p>
        </w:tc>
        <w:tc>
          <w:tcPr>
            <w:tcW w:w="582" w:type="dxa"/>
            <w:gridSpan w:val="3"/>
            <w:tcBorders>
              <w:top w:val="single" w:color="000000" w:sz="4" w:space="0"/>
              <w:left w:val="single" w:color="auto"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12</w:t>
            </w:r>
          </w:p>
        </w:tc>
        <w:tc>
          <w:tcPr>
            <w:tcW w:w="1484" w:type="dxa"/>
            <w:gridSpan w:val="4"/>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直接赋分</w:t>
            </w:r>
          </w:p>
        </w:tc>
        <w:tc>
          <w:tcPr>
            <w:tcW w:w="3458" w:type="dxa"/>
            <w:gridSpan w:val="2"/>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提供能够证明书院党委重视并统筹推进志愿服务工作、院团委牵头负责具体工作的佐证材料，包括但不限于文件、通知、会议纪要、讲话等。</w:t>
            </w:r>
          </w:p>
        </w:tc>
      </w:tr>
      <w:tr>
        <w:tblPrEx>
          <w:tblCellMar>
            <w:top w:w="84" w:type="dxa"/>
            <w:left w:w="13" w:type="dxa"/>
            <w:bottom w:w="42" w:type="dxa"/>
            <w:right w:w="0" w:type="dxa"/>
          </w:tblCellMar>
        </w:tblPrEx>
        <w:trPr>
          <w:gridAfter w:val="1"/>
          <w:wAfter w:w="69" w:type="dxa"/>
          <w:trHeight w:val="980" w:hRule="atLeast"/>
          <w:jc w:val="center"/>
        </w:trPr>
        <w:tc>
          <w:tcPr>
            <w:tcW w:w="1076" w:type="dxa"/>
            <w:gridSpan w:val="2"/>
            <w:vMerge w:val="continue"/>
            <w:tcBorders>
              <w:top w:val="nil"/>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16</w:t>
            </w:r>
          </w:p>
        </w:tc>
        <w:tc>
          <w:tcPr>
            <w:tcW w:w="3286" w:type="dxa"/>
            <w:gridSpan w:val="2"/>
            <w:tcBorders>
              <w:top w:val="single" w:color="000000" w:sz="4" w:space="0"/>
              <w:left w:val="single" w:color="000000" w:sz="4" w:space="0"/>
              <w:bottom w:val="single" w:color="000000" w:sz="4" w:space="0"/>
              <w:right w:val="single" w:color="auto"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志愿服务工作是否进入书院党委会议议事范畴</w:t>
            </w:r>
          </w:p>
        </w:tc>
        <w:tc>
          <w:tcPr>
            <w:tcW w:w="582" w:type="dxa"/>
            <w:gridSpan w:val="3"/>
            <w:tcBorders>
              <w:top w:val="single" w:color="000000" w:sz="4" w:space="0"/>
              <w:left w:val="single" w:color="auto"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40</w:t>
            </w:r>
          </w:p>
        </w:tc>
        <w:tc>
          <w:tcPr>
            <w:tcW w:w="1484" w:type="dxa"/>
            <w:gridSpan w:val="4"/>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直接赋分</w:t>
            </w:r>
          </w:p>
        </w:tc>
        <w:tc>
          <w:tcPr>
            <w:tcW w:w="3458" w:type="dxa"/>
            <w:gridSpan w:val="2"/>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提供能够证明书院党委研究志愿服务工作的材料，包括但不限于年度工作计划、出台制度文件、重点项目实施、经费使用等。</w:t>
            </w:r>
          </w:p>
        </w:tc>
      </w:tr>
      <w:tr>
        <w:tblPrEx>
          <w:tblCellMar>
            <w:top w:w="82" w:type="dxa"/>
            <w:left w:w="13" w:type="dxa"/>
            <w:bottom w:w="0" w:type="dxa"/>
            <w:right w:w="0" w:type="dxa"/>
          </w:tblCellMar>
        </w:tblPrEx>
        <w:trPr>
          <w:gridAfter w:val="1"/>
          <w:wAfter w:w="69" w:type="dxa"/>
          <w:trHeight w:val="643" w:hRule="atLeast"/>
          <w:jc w:val="center"/>
        </w:trPr>
        <w:tc>
          <w:tcPr>
            <w:tcW w:w="1076" w:type="dxa"/>
            <w:gridSpan w:val="2"/>
            <w:vMerge w:val="continue"/>
            <w:tcBorders>
              <w:top w:val="nil"/>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p>
        </w:tc>
        <w:tc>
          <w:tcPr>
            <w:tcW w:w="422" w:type="dxa"/>
            <w:gridSpan w:val="2"/>
            <w:tcBorders>
              <w:top w:val="single" w:color="000000" w:sz="4" w:space="0"/>
              <w:left w:val="single" w:color="000000" w:sz="4" w:space="0"/>
              <w:bottom w:val="single" w:color="auto"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17</w:t>
            </w:r>
          </w:p>
        </w:tc>
        <w:tc>
          <w:tcPr>
            <w:tcW w:w="3286" w:type="dxa"/>
            <w:gridSpan w:val="2"/>
            <w:tcBorders>
              <w:top w:val="single" w:color="000000" w:sz="4" w:space="0"/>
              <w:left w:val="single" w:color="000000" w:sz="4" w:space="0"/>
              <w:bottom w:val="single" w:color="auto" w:sz="4" w:space="0"/>
              <w:right w:val="single" w:color="auto"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志愿者与志愿服务团队的注册制度</w:t>
            </w:r>
          </w:p>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是否完备</w:t>
            </w:r>
          </w:p>
        </w:tc>
        <w:tc>
          <w:tcPr>
            <w:tcW w:w="582" w:type="dxa"/>
            <w:gridSpan w:val="3"/>
            <w:tcBorders>
              <w:top w:val="single" w:color="000000" w:sz="4" w:space="0"/>
              <w:left w:val="single" w:color="auto"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40</w:t>
            </w:r>
          </w:p>
        </w:tc>
        <w:tc>
          <w:tcPr>
            <w:tcW w:w="1484" w:type="dxa"/>
            <w:gridSpan w:val="4"/>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直接赋分</w:t>
            </w:r>
          </w:p>
        </w:tc>
        <w:tc>
          <w:tcPr>
            <w:tcW w:w="3458" w:type="dxa"/>
            <w:gridSpan w:val="2"/>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提供相关制度文件。</w:t>
            </w:r>
          </w:p>
        </w:tc>
      </w:tr>
      <w:tr>
        <w:tblPrEx>
          <w:tblCellMar>
            <w:top w:w="82" w:type="dxa"/>
            <w:left w:w="13" w:type="dxa"/>
            <w:bottom w:w="0" w:type="dxa"/>
            <w:right w:w="0" w:type="dxa"/>
          </w:tblCellMar>
        </w:tblPrEx>
        <w:trPr>
          <w:gridAfter w:val="1"/>
          <w:wAfter w:w="69" w:type="dxa"/>
          <w:trHeight w:val="494" w:hRule="atLeast"/>
          <w:jc w:val="center"/>
        </w:trPr>
        <w:tc>
          <w:tcPr>
            <w:tcW w:w="1076" w:type="dxa"/>
            <w:gridSpan w:val="2"/>
            <w:vMerge w:val="continue"/>
            <w:tcBorders>
              <w:top w:val="single" w:color="auto" w:sz="4" w:space="0"/>
              <w:left w:val="single" w:color="auto"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p>
        </w:tc>
        <w:tc>
          <w:tcPr>
            <w:tcW w:w="422" w:type="dxa"/>
            <w:gridSpan w:val="2"/>
            <w:tcBorders>
              <w:top w:val="single" w:color="auto"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18</w:t>
            </w:r>
          </w:p>
        </w:tc>
        <w:tc>
          <w:tcPr>
            <w:tcW w:w="3286" w:type="dxa"/>
            <w:gridSpan w:val="2"/>
            <w:tcBorders>
              <w:top w:val="single" w:color="auto"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是否开展书院年度志愿服务专项</w:t>
            </w:r>
          </w:p>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工作总结</w:t>
            </w:r>
          </w:p>
        </w:tc>
        <w:tc>
          <w:tcPr>
            <w:tcW w:w="582" w:type="dxa"/>
            <w:gridSpan w:val="3"/>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w:t>
            </w:r>
          </w:p>
        </w:tc>
        <w:tc>
          <w:tcPr>
            <w:tcW w:w="1484" w:type="dxa"/>
            <w:gridSpan w:val="4"/>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直接赋分</w:t>
            </w:r>
          </w:p>
        </w:tc>
        <w:tc>
          <w:tcPr>
            <w:tcW w:w="3458" w:type="dxa"/>
            <w:gridSpan w:val="2"/>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提供上一年度工作总结。</w:t>
            </w:r>
          </w:p>
        </w:tc>
      </w:tr>
      <w:tr>
        <w:tblPrEx>
          <w:tblCellMar>
            <w:top w:w="82" w:type="dxa"/>
            <w:left w:w="13" w:type="dxa"/>
            <w:bottom w:w="0" w:type="dxa"/>
            <w:right w:w="0" w:type="dxa"/>
          </w:tblCellMar>
        </w:tblPrEx>
        <w:trPr>
          <w:gridAfter w:val="1"/>
          <w:wAfter w:w="69" w:type="dxa"/>
          <w:trHeight w:val="979" w:hRule="atLeast"/>
          <w:jc w:val="center"/>
        </w:trPr>
        <w:tc>
          <w:tcPr>
            <w:tcW w:w="1076" w:type="dxa"/>
            <w:gridSpan w:val="2"/>
            <w:vMerge w:val="continue"/>
            <w:tcBorders>
              <w:top w:val="nil"/>
              <w:left w:val="single" w:color="auto"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19</w:t>
            </w:r>
          </w:p>
        </w:tc>
        <w:tc>
          <w:tcPr>
            <w:tcW w:w="3286" w:type="dxa"/>
            <w:gridSpan w:val="2"/>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是否较好的使用志愿服务信息系统</w:t>
            </w:r>
          </w:p>
        </w:tc>
        <w:tc>
          <w:tcPr>
            <w:tcW w:w="582" w:type="dxa"/>
            <w:gridSpan w:val="3"/>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w:t>
            </w:r>
          </w:p>
        </w:tc>
        <w:tc>
          <w:tcPr>
            <w:tcW w:w="1484" w:type="dxa"/>
            <w:gridSpan w:val="4"/>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直接赋分</w:t>
            </w:r>
          </w:p>
        </w:tc>
        <w:tc>
          <w:tcPr>
            <w:tcW w:w="3458" w:type="dxa"/>
            <w:gridSpan w:val="2"/>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“志愿服务信息系统”特指全校统一使用的信息化平台，包括专门的志愿服务信息平</w:t>
            </w:r>
          </w:p>
          <w:p>
            <w:pPr>
              <w:keepNext w:val="0"/>
              <w:keepLines w:val="0"/>
              <w:pageBreakBefore w:val="0"/>
              <w:widowControl/>
              <w:kinsoku/>
              <w:wordWrap/>
              <w:overflowPunct/>
              <w:topLinePunct w:val="0"/>
              <w:autoSpaceDE/>
              <w:autoSpaceDN/>
              <w:bidi w:val="0"/>
              <w:adjustRightInd/>
              <w:snapToGrid/>
              <w:spacing w:line="240" w:lineRule="auto"/>
              <w:ind w:left="0" w:right="0" w:firstLine="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台、嵌入志愿服务功能的其他信息平台等。</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p>
        </w:tc>
      </w:tr>
      <w:tr>
        <w:tblPrEx>
          <w:tblCellMar>
            <w:top w:w="82" w:type="dxa"/>
            <w:left w:w="13" w:type="dxa"/>
            <w:bottom w:w="0" w:type="dxa"/>
            <w:right w:w="0" w:type="dxa"/>
          </w:tblCellMar>
        </w:tblPrEx>
        <w:trPr>
          <w:gridAfter w:val="1"/>
          <w:wAfter w:w="69" w:type="dxa"/>
          <w:trHeight w:val="660" w:hRule="atLeast"/>
          <w:jc w:val="center"/>
        </w:trPr>
        <w:tc>
          <w:tcPr>
            <w:tcW w:w="1076" w:type="dxa"/>
            <w:gridSpan w:val="2"/>
            <w:vMerge w:val="continue"/>
            <w:tcBorders>
              <w:top w:val="nil"/>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p>
        </w:tc>
        <w:tc>
          <w:tcPr>
            <w:tcW w:w="422" w:type="dxa"/>
            <w:gridSpan w:val="2"/>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w:t>
            </w:r>
          </w:p>
        </w:tc>
        <w:tc>
          <w:tcPr>
            <w:tcW w:w="3286" w:type="dxa"/>
            <w:gridSpan w:val="2"/>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是否开展书院层面的优秀志愿者、</w:t>
            </w:r>
          </w:p>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项目和团队的年度表彰</w:t>
            </w:r>
          </w:p>
        </w:tc>
        <w:tc>
          <w:tcPr>
            <w:tcW w:w="582" w:type="dxa"/>
            <w:gridSpan w:val="3"/>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40</w:t>
            </w:r>
          </w:p>
        </w:tc>
        <w:tc>
          <w:tcPr>
            <w:tcW w:w="1484" w:type="dxa"/>
            <w:gridSpan w:val="4"/>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直接赋分</w:t>
            </w:r>
          </w:p>
        </w:tc>
        <w:tc>
          <w:tcPr>
            <w:tcW w:w="3458" w:type="dxa"/>
            <w:gridSpan w:val="2"/>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包括由院党委、院团委等组织开展的表彰活动等。</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提供相关通知、文件等。</w:t>
            </w:r>
          </w:p>
        </w:tc>
      </w:tr>
      <w:tr>
        <w:tblPrEx>
          <w:tblCellMar>
            <w:top w:w="82" w:type="dxa"/>
            <w:left w:w="13" w:type="dxa"/>
            <w:bottom w:w="0" w:type="dxa"/>
            <w:right w:w="0" w:type="dxa"/>
          </w:tblCellMar>
        </w:tblPrEx>
        <w:trPr>
          <w:gridAfter w:val="1"/>
          <w:wAfter w:w="69" w:type="dxa"/>
          <w:trHeight w:val="90" w:hRule="atLeast"/>
          <w:jc w:val="center"/>
        </w:trPr>
        <w:tc>
          <w:tcPr>
            <w:tcW w:w="1076"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b/>
                <w:bCs/>
                <w:sz w:val="20"/>
                <w:szCs w:val="20"/>
                <w:lang w:val="en-US" w:eastAsia="zh-CN"/>
              </w:rPr>
              <w:t>五、</w:t>
            </w:r>
            <w:r>
              <w:rPr>
                <w:rFonts w:hint="eastAsia" w:ascii="仿宋_GB2312" w:hAnsi="仿宋_GB2312" w:eastAsia="仿宋_GB2312" w:cs="仿宋_GB2312"/>
                <w:b/>
                <w:bCs/>
                <w:sz w:val="20"/>
                <w:szCs w:val="20"/>
              </w:rPr>
              <w:t>书院志愿服务激励与保障</w:t>
            </w:r>
          </w:p>
        </w:tc>
        <w:tc>
          <w:tcPr>
            <w:tcW w:w="4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21</w:t>
            </w:r>
          </w:p>
        </w:tc>
        <w:tc>
          <w:tcPr>
            <w:tcW w:w="32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志愿服务专项资金占团委学生活动</w:t>
            </w:r>
          </w:p>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经费的比重</w:t>
            </w:r>
          </w:p>
        </w:tc>
        <w:tc>
          <w:tcPr>
            <w:tcW w:w="58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40</w:t>
            </w:r>
          </w:p>
        </w:tc>
        <w:tc>
          <w:tcPr>
            <w:tcW w:w="148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按基准值赋分</w:t>
            </w:r>
          </w:p>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（平均值）</w:t>
            </w:r>
          </w:p>
        </w:tc>
        <w:tc>
          <w:tcPr>
            <w:tcW w:w="34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“团委学生活动经费”特指由学校预算安排的，院团委为组织管理学生事务、开展各类文体活动及社会实践等相关活动所发生的，财务上专户核算与管理的资金；</w:t>
            </w:r>
          </w:p>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“志愿服务专项资金”特指团委学生活动经费中专项用于开展志愿服务相关工作的经费。</w:t>
            </w:r>
          </w:p>
        </w:tc>
        <w:tc>
          <w:tcPr>
            <w:tcW w:w="345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提供志愿服务专项经费明细和团委学生经费数据及相应佐证材料。</w:t>
            </w:r>
          </w:p>
        </w:tc>
      </w:tr>
      <w:tr>
        <w:tblPrEx>
          <w:tblCellMar>
            <w:top w:w="82" w:type="dxa"/>
            <w:left w:w="13" w:type="dxa"/>
            <w:bottom w:w="0" w:type="dxa"/>
            <w:right w:w="0" w:type="dxa"/>
          </w:tblCellMar>
        </w:tblPrEx>
        <w:trPr>
          <w:gridAfter w:val="1"/>
          <w:wAfter w:w="69" w:type="dxa"/>
          <w:trHeight w:val="1341" w:hRule="atLeast"/>
          <w:jc w:val="center"/>
        </w:trPr>
        <w:tc>
          <w:tcPr>
            <w:tcW w:w="1076" w:type="dxa"/>
            <w:gridSpan w:val="2"/>
            <w:vMerge w:val="continue"/>
            <w:tcBorders>
              <w:top w:val="nil"/>
              <w:left w:val="single" w:color="000000"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p>
        </w:tc>
        <w:tc>
          <w:tcPr>
            <w:tcW w:w="4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22</w:t>
            </w:r>
          </w:p>
        </w:tc>
        <w:tc>
          <w:tcPr>
            <w:tcW w:w="32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是否为注册志愿者统一提供保险</w:t>
            </w:r>
          </w:p>
        </w:tc>
        <w:tc>
          <w:tcPr>
            <w:tcW w:w="58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w:t>
            </w:r>
          </w:p>
        </w:tc>
        <w:tc>
          <w:tcPr>
            <w:tcW w:w="148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直接赋分</w:t>
            </w:r>
          </w:p>
        </w:tc>
        <w:tc>
          <w:tcPr>
            <w:tcW w:w="34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特指根据《志愿服务条例》，在安排志愿者参与可能发生人身危险的志愿服务活动前，应当为志愿者以购买等方式提供相应的人身意外伤害保险。</w:t>
            </w:r>
          </w:p>
        </w:tc>
        <w:tc>
          <w:tcPr>
            <w:tcW w:w="345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提供相关保险证明材料。</w:t>
            </w:r>
          </w:p>
        </w:tc>
      </w:tr>
      <w:tr>
        <w:tblPrEx>
          <w:tblCellMar>
            <w:top w:w="82" w:type="dxa"/>
            <w:left w:w="13" w:type="dxa"/>
            <w:bottom w:w="0" w:type="dxa"/>
            <w:right w:w="0" w:type="dxa"/>
          </w:tblCellMar>
        </w:tblPrEx>
        <w:trPr>
          <w:gridAfter w:val="1"/>
          <w:wAfter w:w="69" w:type="dxa"/>
          <w:trHeight w:val="494" w:hRule="atLeast"/>
          <w:jc w:val="center"/>
        </w:trPr>
        <w:tc>
          <w:tcPr>
            <w:tcW w:w="1076" w:type="dxa"/>
            <w:gridSpan w:val="2"/>
            <w:vMerge w:val="continue"/>
            <w:tcBorders>
              <w:top w:val="nil"/>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p>
        </w:tc>
        <w:tc>
          <w:tcPr>
            <w:tcW w:w="422" w:type="dxa"/>
            <w:gridSpan w:val="2"/>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23</w:t>
            </w:r>
          </w:p>
        </w:tc>
        <w:tc>
          <w:tcPr>
            <w:tcW w:w="32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是否建立志愿服务维权投诉渠道</w:t>
            </w:r>
          </w:p>
        </w:tc>
        <w:tc>
          <w:tcPr>
            <w:tcW w:w="58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w:t>
            </w:r>
          </w:p>
        </w:tc>
        <w:tc>
          <w:tcPr>
            <w:tcW w:w="148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直接赋分</w:t>
            </w:r>
          </w:p>
        </w:tc>
        <w:tc>
          <w:tcPr>
            <w:tcW w:w="34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345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提供维权投诉渠道的制度、方式等信息。</w:t>
            </w:r>
          </w:p>
        </w:tc>
      </w:tr>
      <w:tr>
        <w:tblPrEx>
          <w:tblCellMar>
            <w:top w:w="82" w:type="dxa"/>
            <w:left w:w="13" w:type="dxa"/>
            <w:bottom w:w="0" w:type="dxa"/>
            <w:right w:w="0" w:type="dxa"/>
          </w:tblCellMar>
        </w:tblPrEx>
        <w:trPr>
          <w:gridAfter w:val="1"/>
          <w:wAfter w:w="69" w:type="dxa"/>
          <w:trHeight w:val="977" w:hRule="atLeast"/>
          <w:jc w:val="center"/>
        </w:trPr>
        <w:tc>
          <w:tcPr>
            <w:tcW w:w="1076" w:type="dxa"/>
            <w:gridSpan w:val="2"/>
            <w:vMerge w:val="restart"/>
            <w:tcBorders>
              <w:top w:val="single" w:color="auto" w:sz="4" w:space="0"/>
              <w:left w:val="single" w:color="auto" w:sz="4" w:space="0"/>
              <w:bottom w:val="single" w:color="000000" w:sz="4" w:space="0"/>
              <w:right w:val="single" w:color="000000" w:sz="4" w:space="0"/>
            </w:tcBorders>
            <w:shd w:val="clear" w:color="auto" w:fill="F1F1F1"/>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b/>
                <w:bCs/>
                <w:sz w:val="20"/>
                <w:szCs w:val="20"/>
                <w:lang w:val="en-US" w:eastAsia="zh-CN"/>
              </w:rPr>
              <w:t>六、</w:t>
            </w:r>
            <w:r>
              <w:rPr>
                <w:rFonts w:hint="eastAsia" w:ascii="仿宋_GB2312" w:hAnsi="仿宋_GB2312" w:eastAsia="仿宋_GB2312" w:cs="仿宋_GB2312"/>
                <w:b/>
                <w:bCs/>
                <w:sz w:val="20"/>
                <w:szCs w:val="20"/>
              </w:rPr>
              <w:t>书院志愿服务文化建设</w:t>
            </w:r>
          </w:p>
        </w:tc>
        <w:tc>
          <w:tcPr>
            <w:tcW w:w="422" w:type="dxa"/>
            <w:gridSpan w:val="2"/>
            <w:tcBorders>
              <w:top w:val="single" w:color="auto" w:sz="4" w:space="0"/>
              <w:left w:val="single" w:color="000000" w:sz="4" w:space="0"/>
              <w:bottom w:val="single" w:color="000000" w:sz="4" w:space="0"/>
              <w:right w:val="single" w:color="auto"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24</w:t>
            </w:r>
          </w:p>
        </w:tc>
        <w:tc>
          <w:tcPr>
            <w:tcW w:w="3286" w:type="dxa"/>
            <w:gridSpan w:val="2"/>
            <w:tcBorders>
              <w:top w:val="single" w:color="000000" w:sz="4" w:space="0"/>
              <w:left w:val="single" w:color="auto"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是否将志愿服务列入书院立德树人</w:t>
            </w:r>
          </w:p>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工作方案</w:t>
            </w:r>
          </w:p>
        </w:tc>
        <w:tc>
          <w:tcPr>
            <w:tcW w:w="582" w:type="dxa"/>
            <w:gridSpan w:val="3"/>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40</w:t>
            </w:r>
          </w:p>
        </w:tc>
        <w:tc>
          <w:tcPr>
            <w:tcW w:w="1484" w:type="dxa"/>
            <w:gridSpan w:val="4"/>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直接赋分</w:t>
            </w:r>
          </w:p>
        </w:tc>
        <w:tc>
          <w:tcPr>
            <w:tcW w:w="3458" w:type="dxa"/>
            <w:gridSpan w:val="2"/>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立德树人工作方案，不限于名称为“立德树人”的文件，三全育人、五育并举等工作方案也在此范畴内。</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提供相关材料，并注明所列内容。</w:t>
            </w:r>
          </w:p>
        </w:tc>
      </w:tr>
      <w:tr>
        <w:tblPrEx>
          <w:tblCellMar>
            <w:top w:w="82" w:type="dxa"/>
            <w:left w:w="13" w:type="dxa"/>
            <w:bottom w:w="0" w:type="dxa"/>
            <w:right w:w="0" w:type="dxa"/>
          </w:tblCellMar>
        </w:tblPrEx>
        <w:trPr>
          <w:gridAfter w:val="1"/>
          <w:wAfter w:w="69" w:type="dxa"/>
          <w:trHeight w:val="497" w:hRule="atLeast"/>
          <w:jc w:val="center"/>
        </w:trPr>
        <w:tc>
          <w:tcPr>
            <w:tcW w:w="1076" w:type="dxa"/>
            <w:gridSpan w:val="2"/>
            <w:vMerge w:val="continue"/>
            <w:tcBorders>
              <w:top w:val="nil"/>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p>
        </w:tc>
        <w:tc>
          <w:tcPr>
            <w:tcW w:w="422" w:type="dxa"/>
            <w:gridSpan w:val="2"/>
            <w:tcBorders>
              <w:top w:val="single" w:color="000000" w:sz="4" w:space="0"/>
              <w:left w:val="single" w:color="000000" w:sz="4" w:space="0"/>
              <w:bottom w:val="single" w:color="auto" w:sz="4" w:space="0"/>
              <w:right w:val="single" w:color="auto"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25</w:t>
            </w:r>
          </w:p>
        </w:tc>
        <w:tc>
          <w:tcPr>
            <w:tcW w:w="3286" w:type="dxa"/>
            <w:gridSpan w:val="2"/>
            <w:tcBorders>
              <w:top w:val="single" w:color="000000" w:sz="4" w:space="0"/>
              <w:left w:val="single" w:color="auto"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是否将志愿服务纳入书院“第二课堂成绩单”</w:t>
            </w:r>
          </w:p>
        </w:tc>
        <w:tc>
          <w:tcPr>
            <w:tcW w:w="582" w:type="dxa"/>
            <w:gridSpan w:val="3"/>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40</w:t>
            </w:r>
          </w:p>
        </w:tc>
        <w:tc>
          <w:tcPr>
            <w:tcW w:w="1484" w:type="dxa"/>
            <w:gridSpan w:val="4"/>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直接赋分</w:t>
            </w:r>
          </w:p>
        </w:tc>
        <w:tc>
          <w:tcPr>
            <w:tcW w:w="3458" w:type="dxa"/>
            <w:gridSpan w:val="2"/>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提供“第二课堂成绩单”或其他相关证明。</w:t>
            </w:r>
          </w:p>
        </w:tc>
      </w:tr>
      <w:tr>
        <w:tblPrEx>
          <w:tblCellMar>
            <w:top w:w="81" w:type="dxa"/>
            <w:left w:w="13" w:type="dxa"/>
            <w:bottom w:w="0" w:type="dxa"/>
            <w:right w:w="0" w:type="dxa"/>
          </w:tblCellMar>
        </w:tblPrEx>
        <w:trPr>
          <w:gridAfter w:val="1"/>
          <w:wAfter w:w="69" w:type="dxa"/>
          <w:trHeight w:val="1298" w:hRule="atLeast"/>
          <w:jc w:val="center"/>
        </w:trPr>
        <w:tc>
          <w:tcPr>
            <w:tcW w:w="1076" w:type="dxa"/>
            <w:gridSpan w:val="2"/>
            <w:vMerge w:val="continue"/>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p>
        </w:tc>
        <w:tc>
          <w:tcPr>
            <w:tcW w:w="422" w:type="dxa"/>
            <w:gridSpan w:val="2"/>
            <w:tcBorders>
              <w:top w:val="single" w:color="auto"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26</w:t>
            </w:r>
          </w:p>
        </w:tc>
        <w:tc>
          <w:tcPr>
            <w:tcW w:w="3286" w:type="dxa"/>
            <w:gridSpan w:val="2"/>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正式出版的志愿服务理论与实践研究书籍、核心期刊论文数量</w:t>
            </w:r>
          </w:p>
        </w:tc>
        <w:tc>
          <w:tcPr>
            <w:tcW w:w="582" w:type="dxa"/>
            <w:gridSpan w:val="3"/>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12</w:t>
            </w:r>
          </w:p>
        </w:tc>
        <w:tc>
          <w:tcPr>
            <w:tcW w:w="1484" w:type="dxa"/>
            <w:gridSpan w:val="4"/>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按基准值赋分</w:t>
            </w:r>
          </w:p>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（最高最低值）</w:t>
            </w:r>
          </w:p>
        </w:tc>
        <w:tc>
          <w:tcPr>
            <w:tcW w:w="3458" w:type="dxa"/>
            <w:gridSpan w:val="2"/>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特指书院教师、学生（出版时在校）正式出版的志愿服务理论与实践研究书籍和发表的核心期刊论文。</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ECECEC"/>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提供书籍和论文列表（含作者姓名、身份、书名或论文题名、出版或发表时间、出版社或期刊名称等信息）及相关佐证材料。</w:t>
            </w:r>
          </w:p>
        </w:tc>
      </w:tr>
      <w:tr>
        <w:tblPrEx>
          <w:tblCellMar>
            <w:top w:w="81" w:type="dxa"/>
            <w:left w:w="13" w:type="dxa"/>
            <w:bottom w:w="0" w:type="dxa"/>
            <w:right w:w="0" w:type="dxa"/>
          </w:tblCellMar>
        </w:tblPrEx>
        <w:trPr>
          <w:gridAfter w:val="1"/>
          <w:wAfter w:w="69" w:type="dxa"/>
          <w:trHeight w:val="661" w:hRule="atLeast"/>
          <w:jc w:val="center"/>
        </w:trPr>
        <w:tc>
          <w:tcPr>
            <w:tcW w:w="1076"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b/>
                <w:bCs/>
                <w:sz w:val="20"/>
                <w:szCs w:val="20"/>
                <w:lang w:val="en-US" w:eastAsia="zh-CN"/>
              </w:rPr>
              <w:t>七、</w:t>
            </w:r>
            <w:r>
              <w:rPr>
                <w:rFonts w:hint="eastAsia" w:ascii="仿宋_GB2312" w:hAnsi="仿宋_GB2312" w:eastAsia="仿宋_GB2312" w:cs="仿宋_GB2312"/>
                <w:b/>
                <w:bCs/>
                <w:sz w:val="20"/>
                <w:szCs w:val="20"/>
              </w:rPr>
              <w:t>书院志愿服务评价</w:t>
            </w:r>
          </w:p>
        </w:tc>
        <w:tc>
          <w:tcPr>
            <w:tcW w:w="4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27</w:t>
            </w:r>
          </w:p>
        </w:tc>
        <w:tc>
          <w:tcPr>
            <w:tcW w:w="32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是否开展过服务对象满意度测评或</w:t>
            </w:r>
          </w:p>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调查</w:t>
            </w:r>
          </w:p>
        </w:tc>
        <w:tc>
          <w:tcPr>
            <w:tcW w:w="58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40</w:t>
            </w:r>
          </w:p>
        </w:tc>
        <w:tc>
          <w:tcPr>
            <w:tcW w:w="148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直接赋分</w:t>
            </w:r>
          </w:p>
        </w:tc>
        <w:tc>
          <w:tcPr>
            <w:tcW w:w="34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345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提供测评或调查的方案、报告等佐证材料。</w:t>
            </w:r>
          </w:p>
        </w:tc>
      </w:tr>
      <w:tr>
        <w:tblPrEx>
          <w:tblCellMar>
            <w:top w:w="81" w:type="dxa"/>
            <w:left w:w="13" w:type="dxa"/>
            <w:bottom w:w="0" w:type="dxa"/>
            <w:right w:w="0" w:type="dxa"/>
          </w:tblCellMar>
        </w:tblPrEx>
        <w:trPr>
          <w:gridAfter w:val="1"/>
          <w:wAfter w:w="69" w:type="dxa"/>
          <w:trHeight w:val="657" w:hRule="atLeast"/>
          <w:jc w:val="center"/>
        </w:trPr>
        <w:tc>
          <w:tcPr>
            <w:tcW w:w="1076" w:type="dxa"/>
            <w:gridSpan w:val="2"/>
            <w:vMerge w:val="continue"/>
            <w:tcBorders>
              <w:top w:val="nil"/>
              <w:left w:val="single" w:color="000000"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p>
        </w:tc>
        <w:tc>
          <w:tcPr>
            <w:tcW w:w="4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28</w:t>
            </w:r>
          </w:p>
        </w:tc>
        <w:tc>
          <w:tcPr>
            <w:tcW w:w="32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是否开展过本院志愿者满意度测评或调查</w:t>
            </w:r>
          </w:p>
        </w:tc>
        <w:tc>
          <w:tcPr>
            <w:tcW w:w="58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w:t>
            </w:r>
          </w:p>
        </w:tc>
        <w:tc>
          <w:tcPr>
            <w:tcW w:w="148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直接赋分</w:t>
            </w:r>
          </w:p>
        </w:tc>
        <w:tc>
          <w:tcPr>
            <w:tcW w:w="34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345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提供测评或调查的方案、报告等佐证材料。</w:t>
            </w:r>
          </w:p>
        </w:tc>
      </w:tr>
      <w:tr>
        <w:tblPrEx>
          <w:tblCellMar>
            <w:top w:w="81" w:type="dxa"/>
            <w:left w:w="13" w:type="dxa"/>
            <w:bottom w:w="0" w:type="dxa"/>
            <w:right w:w="0" w:type="dxa"/>
          </w:tblCellMar>
        </w:tblPrEx>
        <w:trPr>
          <w:gridAfter w:val="1"/>
          <w:wAfter w:w="69" w:type="dxa"/>
          <w:trHeight w:val="660" w:hRule="atLeast"/>
          <w:jc w:val="center"/>
        </w:trPr>
        <w:tc>
          <w:tcPr>
            <w:tcW w:w="1076" w:type="dxa"/>
            <w:gridSpan w:val="2"/>
            <w:vMerge w:val="continue"/>
            <w:tcBorders>
              <w:top w:val="nil"/>
              <w:left w:val="single" w:color="000000"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p>
        </w:tc>
        <w:tc>
          <w:tcPr>
            <w:tcW w:w="4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29</w:t>
            </w:r>
          </w:p>
        </w:tc>
        <w:tc>
          <w:tcPr>
            <w:tcW w:w="32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是否开展过对本院志愿服务团队的</w:t>
            </w:r>
          </w:p>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满意度调查</w:t>
            </w:r>
          </w:p>
        </w:tc>
        <w:tc>
          <w:tcPr>
            <w:tcW w:w="58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w:t>
            </w:r>
          </w:p>
        </w:tc>
        <w:tc>
          <w:tcPr>
            <w:tcW w:w="148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直接赋分</w:t>
            </w:r>
          </w:p>
        </w:tc>
        <w:tc>
          <w:tcPr>
            <w:tcW w:w="34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345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提供测评或调查的方案、报告等佐证材料。</w:t>
            </w:r>
          </w:p>
        </w:tc>
      </w:tr>
      <w:tr>
        <w:tblPrEx>
          <w:tblCellMar>
            <w:top w:w="81" w:type="dxa"/>
            <w:left w:w="13" w:type="dxa"/>
            <w:bottom w:w="0" w:type="dxa"/>
            <w:right w:w="0" w:type="dxa"/>
          </w:tblCellMar>
        </w:tblPrEx>
        <w:trPr>
          <w:gridAfter w:val="1"/>
          <w:wAfter w:w="69" w:type="dxa"/>
          <w:trHeight w:val="657" w:hRule="atLeast"/>
          <w:jc w:val="center"/>
        </w:trPr>
        <w:tc>
          <w:tcPr>
            <w:tcW w:w="1076" w:type="dxa"/>
            <w:gridSpan w:val="2"/>
            <w:vMerge w:val="continue"/>
            <w:tcBorders>
              <w:top w:val="nil"/>
              <w:left w:val="single" w:color="000000"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p>
        </w:tc>
        <w:tc>
          <w:tcPr>
            <w:tcW w:w="4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30</w:t>
            </w:r>
          </w:p>
        </w:tc>
        <w:tc>
          <w:tcPr>
            <w:tcW w:w="32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近五年获地市级（含）以上奖励的</w:t>
            </w:r>
          </w:p>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志愿者人数</w:t>
            </w:r>
          </w:p>
        </w:tc>
        <w:tc>
          <w:tcPr>
            <w:tcW w:w="58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w:t>
            </w:r>
          </w:p>
        </w:tc>
        <w:tc>
          <w:tcPr>
            <w:tcW w:w="148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按基准值赋分</w:t>
            </w:r>
          </w:p>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（最高最低值）</w:t>
            </w:r>
          </w:p>
        </w:tc>
        <w:tc>
          <w:tcPr>
            <w:tcW w:w="34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不含学校开展的表彰奖励。</w:t>
            </w:r>
          </w:p>
        </w:tc>
        <w:tc>
          <w:tcPr>
            <w:tcW w:w="345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提供获奖列表（含姓名、所获奖项、获奖时间）。</w:t>
            </w:r>
          </w:p>
        </w:tc>
      </w:tr>
      <w:tr>
        <w:tblPrEx>
          <w:tblCellMar>
            <w:top w:w="81" w:type="dxa"/>
            <w:left w:w="13" w:type="dxa"/>
            <w:bottom w:w="0" w:type="dxa"/>
            <w:right w:w="0" w:type="dxa"/>
          </w:tblCellMar>
        </w:tblPrEx>
        <w:trPr>
          <w:gridAfter w:val="1"/>
          <w:wAfter w:w="69" w:type="dxa"/>
          <w:trHeight w:val="660" w:hRule="atLeast"/>
          <w:jc w:val="center"/>
        </w:trPr>
        <w:tc>
          <w:tcPr>
            <w:tcW w:w="1076" w:type="dxa"/>
            <w:gridSpan w:val="2"/>
            <w:vMerge w:val="continue"/>
            <w:tcBorders>
              <w:top w:val="nil"/>
              <w:left w:val="single" w:color="000000"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p>
        </w:tc>
        <w:tc>
          <w:tcPr>
            <w:tcW w:w="4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31</w:t>
            </w:r>
          </w:p>
        </w:tc>
        <w:tc>
          <w:tcPr>
            <w:tcW w:w="32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近五年获地市级（含）以上奖励的</w:t>
            </w:r>
          </w:p>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志愿服务团队数</w:t>
            </w:r>
          </w:p>
        </w:tc>
        <w:tc>
          <w:tcPr>
            <w:tcW w:w="58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w:t>
            </w:r>
          </w:p>
        </w:tc>
        <w:tc>
          <w:tcPr>
            <w:tcW w:w="148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按基准值赋分</w:t>
            </w:r>
          </w:p>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（最高最低值）</w:t>
            </w:r>
          </w:p>
        </w:tc>
        <w:tc>
          <w:tcPr>
            <w:tcW w:w="34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不含学校开展的表彰奖励。</w:t>
            </w:r>
          </w:p>
        </w:tc>
        <w:tc>
          <w:tcPr>
            <w:tcW w:w="345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提供获奖列表（含团队名称、所获奖项、获奖时间）。</w:t>
            </w:r>
          </w:p>
        </w:tc>
      </w:tr>
      <w:tr>
        <w:tblPrEx>
          <w:tblCellMar>
            <w:top w:w="81" w:type="dxa"/>
            <w:left w:w="13" w:type="dxa"/>
            <w:bottom w:w="0" w:type="dxa"/>
            <w:right w:w="0" w:type="dxa"/>
          </w:tblCellMar>
        </w:tblPrEx>
        <w:trPr>
          <w:gridAfter w:val="1"/>
          <w:wAfter w:w="69" w:type="dxa"/>
          <w:trHeight w:val="659" w:hRule="atLeast"/>
          <w:jc w:val="center"/>
        </w:trPr>
        <w:tc>
          <w:tcPr>
            <w:tcW w:w="1076"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p>
        </w:tc>
        <w:tc>
          <w:tcPr>
            <w:tcW w:w="4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32</w:t>
            </w:r>
          </w:p>
        </w:tc>
        <w:tc>
          <w:tcPr>
            <w:tcW w:w="32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近五年获地市级（含）以上奖励的</w:t>
            </w:r>
          </w:p>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志愿服务项目数</w:t>
            </w:r>
          </w:p>
        </w:tc>
        <w:tc>
          <w:tcPr>
            <w:tcW w:w="58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w:t>
            </w:r>
          </w:p>
        </w:tc>
        <w:tc>
          <w:tcPr>
            <w:tcW w:w="148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按基准值赋分</w:t>
            </w:r>
          </w:p>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（最高最低值）</w:t>
            </w:r>
          </w:p>
        </w:tc>
        <w:tc>
          <w:tcPr>
            <w:tcW w:w="34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不含学校开展的表彰奖励。</w:t>
            </w:r>
          </w:p>
        </w:tc>
        <w:tc>
          <w:tcPr>
            <w:tcW w:w="345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提供获奖列表（含项目名称、所获奖项、获奖时间）。</w:t>
            </w:r>
          </w:p>
        </w:tc>
      </w:tr>
      <w:bookmarkEnd w:id="1"/>
    </w:tbl>
    <w:p>
      <w:pPr>
        <w:spacing w:line="259" w:lineRule="auto"/>
        <w:ind w:firstLine="0"/>
        <w:jc w:val="center"/>
        <w:rPr>
          <w:rFonts w:hint="eastAsia" w:ascii="仿宋_GB2312" w:hAnsi="仿宋_GB2312" w:eastAsia="仿宋_GB2312" w:cs="仿宋_GB2312"/>
          <w:sz w:val="32"/>
          <w:szCs w:val="32"/>
        </w:rPr>
        <w:sectPr>
          <w:pgSz w:w="16840" w:h="11910" w:orient="landscape"/>
          <w:pgMar w:top="2154" w:right="1417" w:bottom="2041" w:left="1531" w:header="720" w:footer="720" w:gutter="0"/>
          <w:cols w:space="720" w:num="1"/>
        </w:sectPr>
      </w:pPr>
      <w:r>
        <w:rPr>
          <w:rFonts w:hint="eastAsia" w:ascii="仿宋_GB2312" w:hAnsi="仿宋_GB2312" w:eastAsia="仿宋_GB2312" w:cs="仿宋_GB2312"/>
          <w:b/>
          <w:bCs/>
          <w:sz w:val="20"/>
          <w:szCs w:val="20"/>
          <w:lang w:val="en-US" w:eastAsia="zh-CN"/>
        </w:rPr>
        <w:br w:type="page"/>
      </w:r>
      <w:bookmarkStart w:id="0" w:name="OLE_LINK1"/>
    </w:p>
    <w:bookmarkEnd w:id="0"/>
    <w:p>
      <w:pPr>
        <w:keepNext w:val="0"/>
        <w:keepLines w:val="0"/>
        <w:pageBreakBefore w:val="0"/>
        <w:widowControl/>
        <w:kinsoku/>
        <w:wordWrap/>
        <w:overflowPunct/>
        <w:topLinePunct w:val="0"/>
        <w:autoSpaceDE/>
        <w:autoSpaceDN/>
        <w:bidi w:val="0"/>
        <w:adjustRightInd/>
        <w:snapToGrid/>
        <w:spacing w:after="92" w:line="560" w:lineRule="exact"/>
        <w:ind w:left="247" w:firstLine="640" w:firstLineChars="200"/>
        <w:jc w:val="both"/>
        <w:textAlignment w:val="auto"/>
      </w:pPr>
      <w:r>
        <w:t>注释：</w:t>
      </w:r>
    </w:p>
    <w:p>
      <w:pPr>
        <w:keepNext w:val="0"/>
        <w:keepLines w:val="0"/>
        <w:pageBreakBefore w:val="0"/>
        <w:widowControl/>
        <w:kinsoku/>
        <w:wordWrap/>
        <w:overflowPunct/>
        <w:topLinePunct w:val="0"/>
        <w:autoSpaceDE/>
        <w:autoSpaceDN/>
        <w:bidi w:val="0"/>
        <w:adjustRightInd/>
        <w:snapToGrid/>
        <w:spacing w:after="112" w:line="560" w:lineRule="exact"/>
        <w:ind w:left="10" w:right="-13" w:firstLine="640" w:firstLineChars="200"/>
        <w:jc w:val="both"/>
        <w:textAlignment w:val="auto"/>
      </w:pPr>
      <w:r>
        <w:t>1.“上一年度”指上一个学年度，例如，2021年9月1日至2022年8月31日；</w:t>
      </w:r>
    </w:p>
    <w:p>
      <w:pPr>
        <w:keepNext w:val="0"/>
        <w:keepLines w:val="0"/>
        <w:pageBreakBefore w:val="0"/>
        <w:widowControl/>
        <w:kinsoku/>
        <w:wordWrap/>
        <w:overflowPunct/>
        <w:topLinePunct w:val="0"/>
        <w:autoSpaceDE/>
        <w:autoSpaceDN/>
        <w:bidi w:val="0"/>
        <w:adjustRightInd/>
        <w:snapToGrid/>
        <w:spacing w:after="112" w:line="560" w:lineRule="exact"/>
        <w:ind w:left="10" w:right="-13" w:firstLine="640" w:firstLineChars="200"/>
        <w:jc w:val="both"/>
        <w:textAlignment w:val="auto"/>
      </w:pPr>
      <w:r>
        <w:t>2.“近五年”指最近的五个自然年度，例如，2017年1月1日至2021年12月31日；</w:t>
      </w:r>
    </w:p>
    <w:p>
      <w:pPr>
        <w:keepNext w:val="0"/>
        <w:keepLines w:val="0"/>
        <w:pageBreakBefore w:val="0"/>
        <w:widowControl/>
        <w:kinsoku/>
        <w:wordWrap/>
        <w:overflowPunct/>
        <w:topLinePunct w:val="0"/>
        <w:autoSpaceDE/>
        <w:autoSpaceDN/>
        <w:bidi w:val="0"/>
        <w:adjustRightInd/>
        <w:snapToGrid/>
        <w:spacing w:line="560" w:lineRule="exact"/>
        <w:ind w:left="-15" w:firstLine="640" w:firstLineChars="200"/>
        <w:jc w:val="both"/>
        <w:textAlignment w:val="auto"/>
      </w:pPr>
      <w:r>
        <w:t>3.“学生”指上一年度的在校学生；“志愿者”指上一年度的在校学生志愿者；非全日制学生、志愿者或已毕业学生、志愿者不在统计范围内；教职工志愿者暂不在统计范围内；</w:t>
      </w:r>
    </w:p>
    <w:p>
      <w:pPr>
        <w:keepNext w:val="0"/>
        <w:keepLines w:val="0"/>
        <w:pageBreakBefore w:val="0"/>
        <w:widowControl/>
        <w:kinsoku/>
        <w:wordWrap/>
        <w:overflowPunct/>
        <w:topLinePunct w:val="0"/>
        <w:autoSpaceDE/>
        <w:autoSpaceDN/>
        <w:bidi w:val="0"/>
        <w:adjustRightInd/>
        <w:snapToGrid/>
        <w:spacing w:after="112" w:line="560" w:lineRule="exact"/>
        <w:ind w:left="10" w:right="-13" w:firstLine="640" w:firstLineChars="200"/>
        <w:jc w:val="both"/>
        <w:textAlignment w:val="auto"/>
      </w:pPr>
      <w:r>
        <w:t>4.“注册志愿者”指依据《中国注册志愿者管理办法》（中青发〔2013〕23号），在共青团组织及其授权的志愿者组织注册登记、参加服务活动的志愿者；</w:t>
      </w:r>
    </w:p>
    <w:p>
      <w:pPr>
        <w:keepNext w:val="0"/>
        <w:keepLines w:val="0"/>
        <w:pageBreakBefore w:val="0"/>
        <w:widowControl/>
        <w:kinsoku/>
        <w:wordWrap/>
        <w:overflowPunct/>
        <w:topLinePunct w:val="0"/>
        <w:autoSpaceDE/>
        <w:autoSpaceDN/>
        <w:bidi w:val="0"/>
        <w:adjustRightInd/>
        <w:snapToGrid/>
        <w:spacing w:after="4574" w:line="560" w:lineRule="exact"/>
        <w:ind w:left="-15" w:firstLine="640" w:firstLineChars="200"/>
        <w:jc w:val="both"/>
        <w:textAlignment w:val="auto"/>
      </w:pPr>
      <w:r>
        <w:t>5.所有“比例”类指标均为百分比，如“75.00%”，数值精确至小数点后两位；所有“数量”类指标均为具体数字，如 “100”，数值精确至个位数；所有“选择”类指标均为“是” 或“否”。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sectPr>
          <w:pgSz w:w="11910" w:h="16840"/>
          <w:pgMar w:top="1440" w:right="1516" w:bottom="1440" w:left="1680" w:header="720" w:footer="720" w:gutter="0"/>
          <w:cols w:space="720" w:num="1"/>
        </w:sectPr>
      </w:pPr>
    </w:p>
    <w:p>
      <w:pPr>
        <w:keepNext w:val="0"/>
        <w:keepLines w:val="0"/>
        <w:pageBreakBefore w:val="0"/>
        <w:widowControl/>
        <w:kinsoku/>
        <w:wordWrap/>
        <w:overflowPunct/>
        <w:topLinePunct w:val="0"/>
        <w:autoSpaceDE/>
        <w:autoSpaceDN/>
        <w:bidi w:val="0"/>
        <w:adjustRightInd/>
        <w:snapToGrid/>
        <w:spacing w:after="125" w:line="560" w:lineRule="exact"/>
        <w:ind w:firstLine="600" w:firstLineChars="200"/>
        <w:jc w:val="both"/>
        <w:textAlignment w:val="auto"/>
      </w:pPr>
      <w:r>
        <w:rPr>
          <w:rFonts w:ascii="黑体" w:hAnsi="黑体" w:eastAsia="黑体" w:cs="黑体"/>
          <w:sz w:val="30"/>
        </w:rPr>
        <w:t>赋分办法：</w:t>
      </w:r>
    </w:p>
    <w:p>
      <w:pPr>
        <w:keepNext w:val="0"/>
        <w:keepLines w:val="0"/>
        <w:pageBreakBefore w:val="0"/>
        <w:widowControl/>
        <w:numPr>
          <w:ilvl w:val="0"/>
          <w:numId w:val="0"/>
        </w:numPr>
        <w:kinsoku/>
        <w:wordWrap/>
        <w:overflowPunct/>
        <w:topLinePunct w:val="0"/>
        <w:autoSpaceDE/>
        <w:autoSpaceDN/>
        <w:bidi w:val="0"/>
        <w:adjustRightInd/>
        <w:snapToGrid/>
        <w:spacing w:after="3" w:line="560" w:lineRule="exact"/>
        <w:ind w:firstLine="600" w:firstLineChars="200"/>
        <w:jc w:val="both"/>
        <w:textAlignment w:val="auto"/>
        <w:rPr>
          <w:rFonts w:ascii="华文仿宋" w:hAnsi="华文仿宋" w:eastAsia="华文仿宋" w:cs="华文仿宋"/>
          <w:sz w:val="30"/>
        </w:rPr>
      </w:pPr>
      <w:r>
        <w:rPr>
          <w:rFonts w:hint="eastAsia" w:ascii="华文仿宋" w:hAnsi="华文仿宋" w:eastAsia="华文仿宋" w:cs="华文仿宋"/>
          <w:sz w:val="30"/>
          <w:lang w:val="en-US" w:eastAsia="zh-CN"/>
        </w:rPr>
        <w:t>1.</w:t>
      </w:r>
      <w:r>
        <w:rPr>
          <w:rFonts w:ascii="华文仿宋" w:hAnsi="华文仿宋" w:eastAsia="华文仿宋" w:cs="华文仿宋"/>
          <w:sz w:val="30"/>
        </w:rPr>
        <w:t>直接赋分：直接赋分条目，填报即可得分，未填报则为</w:t>
      </w:r>
      <w:r>
        <w:rPr>
          <w:rFonts w:ascii="Times New Roman" w:hAnsi="Times New Roman" w:eastAsia="Times New Roman" w:cs="Times New Roman"/>
          <w:sz w:val="30"/>
        </w:rPr>
        <w:t>“0”</w:t>
      </w:r>
      <w:r>
        <w:rPr>
          <w:rFonts w:ascii="华文仿宋" w:hAnsi="华文仿宋" w:eastAsia="华文仿宋" w:cs="华文仿宋"/>
          <w:sz w:val="30"/>
        </w:rPr>
        <w:t>分。</w:t>
      </w:r>
    </w:p>
    <w:p>
      <w:pPr>
        <w:keepNext w:val="0"/>
        <w:keepLines w:val="0"/>
        <w:pageBreakBefore w:val="0"/>
        <w:widowControl/>
        <w:numPr>
          <w:ilvl w:val="0"/>
          <w:numId w:val="0"/>
        </w:numPr>
        <w:kinsoku/>
        <w:wordWrap/>
        <w:overflowPunct/>
        <w:topLinePunct w:val="0"/>
        <w:autoSpaceDE/>
        <w:autoSpaceDN/>
        <w:bidi w:val="0"/>
        <w:adjustRightInd/>
        <w:snapToGrid/>
        <w:spacing w:after="3" w:line="560" w:lineRule="exact"/>
        <w:ind w:firstLine="600" w:firstLineChars="200"/>
        <w:jc w:val="both"/>
        <w:textAlignment w:val="auto"/>
      </w:pPr>
      <w:r>
        <w:rPr>
          <w:rFonts w:ascii="Times New Roman" w:hAnsi="Times New Roman" w:eastAsia="Times New Roman" w:cs="Times New Roman"/>
          <w:sz w:val="30"/>
        </w:rPr>
        <w:t>2.</w:t>
      </w:r>
      <w:r>
        <w:rPr>
          <w:rFonts w:ascii="华文仿宋" w:hAnsi="华文仿宋" w:eastAsia="华文仿宋" w:cs="华文仿宋"/>
          <w:sz w:val="30"/>
        </w:rPr>
        <w:t>按基准值赋分：通过设定基准值赋比对填报结果计算得分。该项对填报为空白的认定为</w:t>
      </w:r>
      <w:r>
        <w:rPr>
          <w:rFonts w:ascii="Times New Roman" w:hAnsi="Times New Roman" w:eastAsia="Times New Roman" w:cs="Times New Roman"/>
          <w:sz w:val="30"/>
        </w:rPr>
        <w:t>“0”</w:t>
      </w:r>
      <w:r>
        <w:rPr>
          <w:rFonts w:ascii="华文仿宋" w:hAnsi="华文仿宋" w:eastAsia="华文仿宋" w:cs="华文仿宋"/>
          <w:sz w:val="30"/>
        </w:rPr>
        <w:t>分。基准值的设定包括以下三种方式：</w:t>
      </w:r>
    </w:p>
    <w:p>
      <w:pPr>
        <w:keepNext w:val="0"/>
        <w:keepLines w:val="0"/>
        <w:pageBreakBefore w:val="0"/>
        <w:widowControl/>
        <w:kinsoku/>
        <w:wordWrap/>
        <w:overflowPunct/>
        <w:topLinePunct w:val="0"/>
        <w:autoSpaceDE/>
        <w:autoSpaceDN/>
        <w:bidi w:val="0"/>
        <w:adjustRightInd/>
        <w:snapToGrid/>
        <w:spacing w:after="3" w:line="560" w:lineRule="exact"/>
        <w:ind w:left="-15" w:firstLine="600" w:firstLineChars="200"/>
        <w:jc w:val="both"/>
        <w:textAlignment w:val="auto"/>
      </w:pPr>
      <w:r>
        <w:rPr>
          <w:rFonts w:ascii="华文仿宋" w:hAnsi="华文仿宋" w:eastAsia="华文仿宋" w:cs="华文仿宋"/>
          <w:sz w:val="30"/>
        </w:rPr>
        <w:t>第一种方式</w:t>
      </w:r>
      <w:r>
        <w:rPr>
          <w:rFonts w:ascii="Times New Roman" w:hAnsi="Times New Roman" w:eastAsia="Times New Roman" w:cs="Times New Roman"/>
          <w:sz w:val="30"/>
        </w:rPr>
        <w:t>——</w:t>
      </w:r>
      <w:r>
        <w:rPr>
          <w:rFonts w:ascii="华文仿宋" w:hAnsi="华文仿宋" w:eastAsia="华文仿宋" w:cs="华文仿宋"/>
          <w:sz w:val="30"/>
        </w:rPr>
        <w:t>取该项满分为基准值，如满分为百分比的，按</w:t>
      </w:r>
      <w:r>
        <w:rPr>
          <w:rFonts w:ascii="Times New Roman" w:hAnsi="Times New Roman" w:eastAsia="Times New Roman" w:cs="Times New Roman"/>
          <w:sz w:val="30"/>
        </w:rPr>
        <w:t>100%</w:t>
      </w:r>
      <w:r>
        <w:rPr>
          <w:rFonts w:ascii="华文仿宋" w:hAnsi="华文仿宋" w:eastAsia="华文仿宋" w:cs="华文仿宋"/>
          <w:sz w:val="30"/>
        </w:rPr>
        <w:t>计为基准值。</w:t>
      </w:r>
      <w:r>
        <w:rPr>
          <w:rFonts w:ascii="Times New Roman" w:hAnsi="Times New Roman" w:eastAsia="Times New Roman" w:cs="Times New Roman"/>
          <w:sz w:val="30"/>
        </w:rPr>
        <w:t xml:space="preserve"> </w:t>
      </w:r>
    </w:p>
    <w:p>
      <w:pPr>
        <w:keepNext w:val="0"/>
        <w:keepLines w:val="0"/>
        <w:pageBreakBefore w:val="0"/>
        <w:widowControl/>
        <w:kinsoku/>
        <w:wordWrap/>
        <w:overflowPunct/>
        <w:topLinePunct w:val="0"/>
        <w:autoSpaceDE/>
        <w:autoSpaceDN/>
        <w:bidi w:val="0"/>
        <w:adjustRightInd/>
        <w:snapToGrid/>
        <w:spacing w:after="109" w:line="560" w:lineRule="exact"/>
        <w:jc w:val="both"/>
        <w:textAlignment w:val="auto"/>
      </w:pPr>
      <w:r>
        <w:rPr>
          <w:rFonts w:ascii="华文仿宋" w:hAnsi="华文仿宋" w:eastAsia="华文仿宋" w:cs="华文仿宋"/>
          <w:sz w:val="30"/>
        </w:rPr>
        <w:t>第二种方式</w:t>
      </w:r>
      <w:r>
        <w:rPr>
          <w:rFonts w:ascii="Times New Roman" w:hAnsi="Times New Roman" w:eastAsia="Times New Roman" w:cs="Times New Roman"/>
          <w:sz w:val="30"/>
        </w:rPr>
        <w:t>——</w:t>
      </w:r>
      <w:r>
        <w:rPr>
          <w:rFonts w:ascii="华文仿宋" w:hAnsi="华文仿宋" w:eastAsia="华文仿宋" w:cs="华文仿宋"/>
          <w:sz w:val="30"/>
        </w:rPr>
        <w:t>取该项平均值为基准值，平均值为全部参与高校该项得分的平均值。</w:t>
      </w:r>
    </w:p>
    <w:p>
      <w:pPr>
        <w:keepNext w:val="0"/>
        <w:keepLines w:val="0"/>
        <w:pageBreakBefore w:val="0"/>
        <w:widowControl/>
        <w:kinsoku/>
        <w:wordWrap/>
        <w:overflowPunct/>
        <w:topLinePunct w:val="0"/>
        <w:autoSpaceDE/>
        <w:autoSpaceDN/>
        <w:bidi w:val="0"/>
        <w:adjustRightInd/>
        <w:snapToGrid/>
        <w:spacing w:after="295" w:line="560" w:lineRule="exact"/>
        <w:ind w:right="1332" w:firstLine="920" w:firstLineChars="200"/>
        <w:jc w:val="both"/>
        <w:textAlignment w:val="auto"/>
      </w:pPr>
      <w:r>
        <w:rPr>
          <w:sz w:val="46"/>
        </w:rPr>
        <mc:AlternateContent>
          <mc:Choice Requires="wps">
            <w:drawing>
              <wp:anchor distT="0" distB="0" distL="114300" distR="114300" simplePos="0" relativeHeight="251659264" behindDoc="1" locked="0" layoutInCell="1" allowOverlap="1">
                <wp:simplePos x="0" y="0"/>
                <wp:positionH relativeFrom="column">
                  <wp:posOffset>380365</wp:posOffset>
                </wp:positionH>
                <wp:positionV relativeFrom="paragraph">
                  <wp:posOffset>466090</wp:posOffset>
                </wp:positionV>
                <wp:extent cx="4062095" cy="8890"/>
                <wp:effectExtent l="0" t="0" r="0" b="0"/>
                <wp:wrapNone/>
                <wp:docPr id="15416" name="Shape 15416"/>
                <wp:cNvGraphicFramePr/>
                <a:graphic xmlns:a="http://schemas.openxmlformats.org/drawingml/2006/main">
                  <a:graphicData uri="http://schemas.microsoft.com/office/word/2010/wordprocessingShape">
                    <wps:wsp>
                      <wps:cNvSpPr/>
                      <wps:spPr>
                        <a:xfrm>
                          <a:off x="1604645" y="5147945"/>
                          <a:ext cx="4062095" cy="8890"/>
                        </a:xfrm>
                        <a:custGeom>
                          <a:avLst/>
                          <a:gdLst/>
                          <a:ahLst/>
                          <a:cxnLst/>
                          <a:rect l="0" t="0" r="0" b="0"/>
                          <a:pathLst>
                            <a:path w="4062349" h="9144">
                              <a:moveTo>
                                <a:pt x="0" y="0"/>
                              </a:moveTo>
                              <a:lnTo>
                                <a:pt x="4062349" y="0"/>
                              </a:lnTo>
                              <a:lnTo>
                                <a:pt x="40623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id="Shape 15416" o:spid="_x0000_s1026" o:spt="100" style="position:absolute;left:0pt;margin-left:29.95pt;margin-top:36.7pt;height:0.7pt;width:319.85pt;z-index:-251657216;mso-width-relative:page;mso-height-relative:page;" fillcolor="#000000" filled="t" stroked="f" coordsize="4062349,9144" o:gfxdata="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bNXVvaAAAACAEA&#10;AA8AAAAAAAAAAQAgAAAAIgAAAGRycy9kb3ducmV2LnhtbFBLAQIUABQAAAAIAIdO4kDO4jhoGAIA&#10;ALwEAAAOAAAAAAAAAAEAIAAAACkBAABkcnMvZTJvRG9jLnhtbFBLBQYAAAAABgAGAFkBAACzBQAA&#10;AAA=&#10;" path="m0,0l4062349,0,4062349,9144,0,9144,0,0e">
                <v:fill on="t" focussize="0,0"/>
                <v:stroke on="f" weight="0pt" miterlimit="1" joinstyle="miter"/>
                <v:imagedata o:title=""/>
                <o:lock v:ext="edit" aspectratio="f"/>
              </v:shape>
            </w:pict>
          </mc:Fallback>
        </mc:AlternateContent>
      </w:r>
      <w:r>
        <w:rPr>
          <w:rFonts w:ascii="华文仿宋" w:hAnsi="华文仿宋" w:eastAsia="华文仿宋" w:cs="华文仿宋"/>
          <w:sz w:val="46"/>
          <w:vertAlign w:val="subscript"/>
        </w:rPr>
        <w:t>赋分公式：</w:t>
      </w:r>
      <w:r>
        <w:rPr>
          <w:rFonts w:ascii="Times New Roman" w:hAnsi="Times New Roman" w:eastAsia="Times New Roman" w:cs="Times New Roman"/>
          <w:sz w:val="40"/>
        </w:rPr>
        <w:t>Score</w:t>
      </w:r>
      <w:r>
        <w:rPr>
          <w:rFonts w:hint="eastAsia" w:ascii="Times New Roman" w:hAnsi="Times New Roman" w:eastAsia="宋体" w:cs="Times New Roman"/>
          <w:sz w:val="40"/>
          <w:lang w:val="en-US" w:eastAsia="zh-CN"/>
        </w:rPr>
        <w:t xml:space="preserve"> = </w:t>
      </w:r>
      <w:r>
        <w:rPr>
          <w:rFonts w:ascii="Times New Roman" w:hAnsi="Times New Roman" w:eastAsia="Times New Roman" w:cs="Times New Roman"/>
          <w:sz w:val="40"/>
        </w:rPr>
        <w:t xml:space="preserve">0.5*Y </w:t>
      </w:r>
      <w:r>
        <w:rPr>
          <w:rFonts w:hint="eastAsia" w:ascii="Times New Roman" w:hAnsi="Times New Roman" w:eastAsia="宋体" w:cs="Times New Roman"/>
          <w:sz w:val="40"/>
          <w:lang w:val="en-US" w:eastAsia="zh-CN"/>
        </w:rPr>
        <w:t xml:space="preserve">+ </w:t>
      </w:r>
      <m:oMath>
        <m:f>
          <m:fPr>
            <m:ctrlPr>
              <w:rPr>
                <w:rFonts w:ascii="Cambria Math" w:hAnsi="Cambria Math" w:cs="Times New Roman"/>
                <w:i/>
                <w:sz w:val="40"/>
                <w:lang w:val="en-US"/>
              </w:rPr>
            </m:ctrlPr>
          </m:fPr>
          <m:num>
            <m:r>
              <m:rPr/>
              <w:rPr>
                <w:rFonts w:ascii="Times New Roman" w:hAnsi="Times New Roman" w:eastAsia="Times New Roman" w:cs="Times New Roman"/>
                <w:sz w:val="40"/>
              </w:rPr>
              <m:t>X</m:t>
            </m:r>
            <m:r>
              <m:rPr/>
              <w:rPr>
                <w:rFonts w:hint="default" w:ascii="Cambria Math" w:hAnsi="Cambria Math" w:eastAsia="宋体" w:cs="Times New Roman"/>
                <w:sz w:val="40"/>
                <w:lang w:val="en-US" w:eastAsia="zh-CN"/>
              </w:rPr>
              <m:t>−</m:t>
            </m:r>
            <m:acc>
              <m:accPr>
                <m:chr m:val="̅"/>
                <m:ctrlPr>
                  <w:rPr>
                    <w:rFonts w:ascii="Cambria Math" w:hAnsi="Cambria Math" w:cs="华文仿宋"/>
                    <w:i/>
                    <w:sz w:val="30"/>
                  </w:rPr>
                </m:ctrlPr>
              </m:accPr>
              <m:e>
                <m:r>
                  <m:rPr/>
                  <w:rPr>
                    <w:rFonts w:ascii="Times New Roman" w:hAnsi="Times New Roman" w:eastAsia="Times New Roman" w:cs="Times New Roman"/>
                    <w:sz w:val="40"/>
                  </w:rPr>
                  <m:t>X</m:t>
                </m:r>
                <m:ctrlPr>
                  <w:rPr>
                    <w:rFonts w:ascii="Cambria Math" w:hAnsi="Cambria Math" w:cs="华文仿宋"/>
                    <w:i/>
                    <w:sz w:val="30"/>
                  </w:rPr>
                </m:ctrlPr>
              </m:e>
            </m:acc>
            <m:ctrlPr>
              <w:rPr>
                <w:rFonts w:ascii="Cambria Math" w:hAnsi="Cambria Math" w:cs="Times New Roman"/>
                <w:i/>
                <w:sz w:val="40"/>
                <w:lang w:val="en-US"/>
              </w:rPr>
            </m:ctrlPr>
          </m:num>
          <m:den>
            <m:r>
              <m:rPr/>
              <w:rPr>
                <w:rFonts w:ascii="Times New Roman" w:hAnsi="Times New Roman" w:eastAsia="Times New Roman" w:cs="Times New Roman"/>
                <w:sz w:val="42"/>
              </w:rPr>
              <m:t xml:space="preserve">X </m:t>
            </m:r>
            <m:r>
              <m:rPr>
                <m:sty m:val="p"/>
              </m:rPr>
              <w:rPr>
                <w:rFonts w:ascii="Times New Roman" w:hAnsi="Times New Roman" w:eastAsia="Times New Roman" w:cs="Times New Roman"/>
                <w:sz w:val="15"/>
              </w:rPr>
              <m:t>max</m:t>
            </m:r>
            <m:r>
              <m:rPr/>
              <w:rPr>
                <w:rFonts w:hint="default" w:ascii="Cambria Math" w:hAnsi="Cambria Math" w:eastAsia="宋体" w:cs="Times New Roman"/>
                <w:sz w:val="40"/>
                <w:lang w:val="en-US" w:eastAsia="zh-CN"/>
              </w:rPr>
              <m:t>−</m:t>
            </m:r>
            <m:r>
              <m:rPr>
                <m:sty m:val="p"/>
              </m:rPr>
              <w:rPr>
                <w:rFonts w:hint="default" w:ascii="Cambria Math" w:hAnsi="Cambria Math" w:eastAsia="宋体" w:cs="Times New Roman"/>
                <w:sz w:val="40"/>
                <w:lang w:val="en-US" w:eastAsia="zh-CN"/>
              </w:rPr>
              <m:t xml:space="preserve"> </m:t>
            </m:r>
            <m:r>
              <m:rPr>
                <m:sty m:val="p"/>
              </m:rPr>
              <w:rPr>
                <w:rFonts w:ascii="Times New Roman" w:hAnsi="Times New Roman" w:eastAsia="Times New Roman" w:cs="Times New Roman"/>
                <w:sz w:val="40"/>
              </w:rPr>
              <m:t>X</m:t>
            </m:r>
            <m:r>
              <m:rPr>
                <m:sty m:val="p"/>
              </m:rPr>
              <w:rPr>
                <w:rFonts w:ascii="Times New Roman" w:hAnsi="Times New Roman" w:eastAsia="Times New Roman" w:cs="Times New Roman"/>
                <w:sz w:val="22"/>
                <w:vertAlign w:val="superscript"/>
              </w:rPr>
              <m:t>min</m:t>
            </m:r>
            <m:ctrlPr>
              <w:rPr>
                <w:rFonts w:ascii="Cambria Math" w:hAnsi="Cambria Math" w:cs="Times New Roman"/>
                <w:i/>
                <w:sz w:val="40"/>
                <w:lang w:val="en-US"/>
              </w:rPr>
            </m:ctrlPr>
          </m:den>
        </m:f>
      </m:oMath>
      <w:r>
        <w:rPr>
          <w:rFonts w:ascii="Times New Roman" w:hAnsi="Times New Roman" w:eastAsia="Times New Roman" w:cs="Times New Roman"/>
          <w:sz w:val="40"/>
        </w:rPr>
        <w:t>*Y</w:t>
      </w:r>
    </w:p>
    <w:p>
      <w:pPr>
        <w:keepNext w:val="0"/>
        <w:keepLines w:val="0"/>
        <w:pageBreakBefore w:val="0"/>
        <w:widowControl/>
        <w:kinsoku/>
        <w:wordWrap/>
        <w:overflowPunct/>
        <w:topLinePunct w:val="0"/>
        <w:autoSpaceDE/>
        <w:autoSpaceDN/>
        <w:bidi w:val="0"/>
        <w:adjustRightInd/>
        <w:snapToGrid/>
        <w:spacing w:after="69" w:line="560" w:lineRule="exact"/>
        <w:ind w:left="0" w:leftChars="0" w:firstLine="600" w:firstLineChars="200"/>
        <w:jc w:val="both"/>
        <w:textAlignment w:val="auto"/>
      </w:pPr>
      <w:r>
        <w:rPr>
          <w:rFonts w:ascii="华文仿宋" w:hAnsi="华文仿宋" w:eastAsia="华文仿宋" w:cs="华文仿宋"/>
          <w:sz w:val="30"/>
        </w:rPr>
        <w:t>其中，</w:t>
      </w:r>
      <w:r>
        <w:rPr>
          <w:rFonts w:ascii="Times New Roman" w:hAnsi="Times New Roman" w:eastAsia="Times New Roman" w:cs="Times New Roman"/>
          <w:sz w:val="30"/>
        </w:rPr>
        <w:t>Y</w:t>
      </w:r>
      <w:r>
        <w:rPr>
          <w:rFonts w:ascii="华文仿宋" w:hAnsi="华文仿宋" w:eastAsia="华文仿宋" w:cs="华文仿宋"/>
          <w:sz w:val="30"/>
        </w:rPr>
        <w:t>表示该项总分，</w:t>
      </w:r>
      <w:r>
        <w:rPr>
          <w:rFonts w:ascii="Times New Roman" w:hAnsi="Times New Roman" w:eastAsia="Times New Roman" w:cs="Times New Roman"/>
          <w:sz w:val="30"/>
        </w:rPr>
        <w:t>X</w:t>
      </w:r>
      <w:r>
        <w:rPr>
          <w:rFonts w:ascii="华文仿宋" w:hAnsi="华文仿宋" w:eastAsia="华文仿宋" w:cs="华文仿宋"/>
          <w:sz w:val="30"/>
        </w:rPr>
        <w:t>为书院该项的实际数值，</w:t>
      </w:r>
      <w:r>
        <w:rPr>
          <w:rFonts w:ascii="Times New Roman" w:hAnsi="Times New Roman" w:eastAsia="Times New Roman" w:cs="Times New Roman"/>
          <w:i/>
          <w:sz w:val="42"/>
        </w:rPr>
        <w:t xml:space="preserve">X </w:t>
      </w:r>
      <w:r>
        <w:rPr>
          <w:rFonts w:ascii="Times New Roman" w:hAnsi="Times New Roman" w:eastAsia="Times New Roman" w:cs="Times New Roman"/>
          <w:sz w:val="15"/>
        </w:rPr>
        <w:t>max</w:t>
      </w:r>
      <w:r>
        <w:rPr>
          <w:rFonts w:ascii="华文仿宋" w:hAnsi="华文仿宋" w:eastAsia="华文仿宋" w:cs="华文仿宋"/>
          <w:sz w:val="30"/>
        </w:rPr>
        <w:t>为</w:t>
      </w:r>
      <w:r>
        <w:rPr>
          <w:rFonts w:hint="eastAsia" w:ascii="华文仿宋" w:hAnsi="华文仿宋" w:eastAsia="华文仿宋" w:cs="华文仿宋"/>
          <w:sz w:val="30"/>
          <w:lang w:val="en-US" w:eastAsia="zh-CN"/>
        </w:rPr>
        <w:t>所</w:t>
      </w:r>
      <w:r>
        <w:rPr>
          <w:rFonts w:ascii="华文仿宋" w:hAnsi="华文仿宋" w:eastAsia="华文仿宋" w:cs="华文仿宋"/>
          <w:sz w:val="30"/>
        </w:rPr>
        <w:t>有书院该项的最高值，</w:t>
      </w:r>
      <w:r>
        <w:rPr>
          <w:rFonts w:ascii="Times New Roman" w:hAnsi="Times New Roman" w:eastAsia="Times New Roman" w:cs="Times New Roman"/>
          <w:i/>
          <w:sz w:val="41"/>
        </w:rPr>
        <w:t xml:space="preserve">X </w:t>
      </w:r>
      <w:r>
        <w:rPr>
          <w:rFonts w:ascii="Times New Roman" w:hAnsi="Times New Roman" w:eastAsia="Times New Roman" w:cs="Times New Roman"/>
          <w:sz w:val="14"/>
        </w:rPr>
        <w:t xml:space="preserve">min </w:t>
      </w:r>
      <w:r>
        <w:rPr>
          <w:rFonts w:ascii="华文仿宋" w:hAnsi="华文仿宋" w:eastAsia="华文仿宋" w:cs="华文仿宋"/>
          <w:sz w:val="30"/>
        </w:rPr>
        <w:t>为所有书院该项的最低值，</w:t>
      </w:r>
      <m:oMath>
        <m:acc>
          <m:accPr>
            <m:chr m:val="̅"/>
            <m:ctrlPr>
              <w:rPr>
                <w:rFonts w:ascii="Cambria Math" w:hAnsi="Cambria Math" w:cs="华文仿宋"/>
                <w:i/>
                <w:sz w:val="30"/>
              </w:rPr>
            </m:ctrlPr>
          </m:accPr>
          <m:e>
            <m:r>
              <m:rPr/>
              <w:rPr>
                <w:rFonts w:ascii="Times New Roman" w:hAnsi="Times New Roman" w:eastAsia="Times New Roman" w:cs="Times New Roman"/>
                <w:sz w:val="40"/>
              </w:rPr>
              <m:t>X</m:t>
            </m:r>
            <m:ctrlPr>
              <w:rPr>
                <w:rFonts w:ascii="Cambria Math" w:hAnsi="Cambria Math" w:cs="华文仿宋"/>
                <w:i/>
                <w:sz w:val="30"/>
              </w:rPr>
            </m:ctrlPr>
          </m:e>
        </m:acc>
      </m:oMath>
      <w:r>
        <w:rPr>
          <w:rFonts w:ascii="华文仿宋" w:hAnsi="华文仿宋" w:eastAsia="华文仿宋" w:cs="华文仿宋"/>
          <w:sz w:val="30"/>
        </w:rPr>
        <w:t>为所有书院该项的均值。如所得分数出现负值，则直接计为</w:t>
      </w:r>
      <w:r>
        <w:rPr>
          <w:rFonts w:ascii="Times New Roman" w:hAnsi="Times New Roman" w:eastAsia="Times New Roman" w:cs="Times New Roman"/>
          <w:sz w:val="30"/>
        </w:rPr>
        <w:t>0</w:t>
      </w:r>
      <w:r>
        <w:rPr>
          <w:rFonts w:ascii="Times New Roman" w:hAnsi="Times New Roman" w:eastAsia="Times New Roman" w:cs="Times New Roman"/>
          <w:sz w:val="8"/>
        </w:rPr>
        <w:t xml:space="preserve"> </w:t>
      </w:r>
      <w:r>
        <w:rPr>
          <w:rFonts w:ascii="华文仿宋" w:hAnsi="华文仿宋" w:eastAsia="华文仿宋" w:cs="华文仿宋"/>
          <w:sz w:val="30"/>
        </w:rPr>
        <w:t>分。</w:t>
      </w:r>
      <w:r>
        <w:rPr>
          <w:rFonts w:ascii="Times New Roman" w:hAnsi="Times New Roman" w:eastAsia="Times New Roman" w:cs="Times New Roman"/>
          <w:sz w:val="30"/>
        </w:rPr>
        <w:t xml:space="preserve"> </w:t>
      </w:r>
    </w:p>
    <w:p>
      <w:pPr>
        <w:keepNext w:val="0"/>
        <w:keepLines w:val="0"/>
        <w:pageBreakBefore w:val="0"/>
        <w:widowControl/>
        <w:kinsoku/>
        <w:wordWrap/>
        <w:overflowPunct/>
        <w:topLinePunct w:val="0"/>
        <w:autoSpaceDE/>
        <w:autoSpaceDN/>
        <w:bidi w:val="0"/>
        <w:adjustRightInd/>
        <w:snapToGrid/>
        <w:spacing w:after="55" w:line="560" w:lineRule="exact"/>
        <w:ind w:left="-15" w:firstLine="600" w:firstLineChars="200"/>
        <w:jc w:val="both"/>
        <w:textAlignment w:val="auto"/>
      </w:pPr>
      <w:r>
        <w:rPr>
          <w:rFonts w:ascii="华文仿宋" w:hAnsi="华文仿宋" w:eastAsia="华文仿宋" w:cs="华文仿宋"/>
          <w:sz w:val="30"/>
        </w:rPr>
        <w:t>第三种方式</w:t>
      </w:r>
      <w:r>
        <w:rPr>
          <w:rFonts w:ascii="Times New Roman" w:hAnsi="Times New Roman" w:eastAsia="Times New Roman" w:cs="Times New Roman"/>
          <w:sz w:val="30"/>
        </w:rPr>
        <w:t>——</w:t>
      </w:r>
      <w:r>
        <w:rPr>
          <w:rFonts w:ascii="华文仿宋" w:hAnsi="华文仿宋" w:eastAsia="华文仿宋" w:cs="华文仿宋"/>
          <w:sz w:val="30"/>
        </w:rPr>
        <w:t>取该项最高最低值为基准值，最高值为所有书院该项的最高值。最低值为所有书院该项的最低值。</w:t>
      </w:r>
    </w:p>
    <w:p>
      <w:pPr>
        <w:keepNext w:val="0"/>
        <w:keepLines w:val="0"/>
        <w:pageBreakBefore w:val="0"/>
        <w:widowControl/>
        <w:kinsoku/>
        <w:wordWrap/>
        <w:overflowPunct/>
        <w:topLinePunct w:val="0"/>
        <w:autoSpaceDE/>
        <w:autoSpaceDN/>
        <w:bidi w:val="0"/>
        <w:adjustRightInd/>
        <w:snapToGrid/>
        <w:spacing w:after="256" w:line="560" w:lineRule="exact"/>
        <w:ind w:left="585" w:right="1332" w:firstLine="600" w:firstLineChars="200"/>
        <w:jc w:val="both"/>
        <w:textAlignment w:val="auto"/>
      </w:pPr>
      <w:r>
        <w:rPr>
          <w:rFonts w:ascii="华文仿宋" w:hAnsi="华文仿宋" w:eastAsia="华文仿宋" w:cs="华文仿宋"/>
          <w:sz w:val="30"/>
          <w:u w:val="none" w:color="auto"/>
        </w:rPr>
        <w:t>赋分公式：</w:t>
      </w:r>
      <w:r>
        <w:rPr>
          <w:rFonts w:ascii="Times New Roman" w:hAnsi="Times New Roman" w:eastAsia="Times New Roman" w:cs="Times New Roman"/>
          <w:sz w:val="40"/>
          <w:u w:val="none" w:color="auto"/>
        </w:rPr>
        <w:t>Score</w:t>
      </w:r>
      <w:r>
        <w:rPr>
          <w:rFonts w:hint="eastAsia" w:ascii="Times New Roman" w:hAnsi="Times New Roman" w:eastAsia="宋体" w:cs="Times New Roman"/>
          <w:sz w:val="40"/>
          <w:u w:val="none" w:color="auto"/>
          <w:lang w:val="en-US" w:eastAsia="zh-CN"/>
        </w:rPr>
        <w:t xml:space="preserve"> =</w:t>
      </w:r>
      <w:r>
        <w:rPr>
          <w:rFonts w:ascii="Times New Roman" w:hAnsi="Times New Roman" w:eastAsia="Times New Roman" w:cs="Times New Roman"/>
          <w:sz w:val="21"/>
          <w:u w:val="none" w:color="auto"/>
        </w:rPr>
        <w:t xml:space="preserve"> </w:t>
      </w:r>
      <w:r>
        <w:rPr>
          <w:rFonts w:hint="eastAsia" w:ascii="Times New Roman" w:hAnsi="Times New Roman" w:eastAsia="宋体" w:cs="Times New Roman"/>
          <w:sz w:val="40"/>
          <w:u w:val="none" w:color="auto"/>
          <w:lang w:val="en-US" w:eastAsia="zh-CN"/>
        </w:rPr>
        <w:t xml:space="preserve"> </w:t>
      </w:r>
      <m:oMath>
        <m:f>
          <m:fPr>
            <m:ctrlPr>
              <w:rPr>
                <w:rFonts w:ascii="Cambria Math" w:hAnsi="Cambria Math" w:cs="Times New Roman"/>
                <w:i/>
                <w:sz w:val="40"/>
                <w:u w:val="none" w:color="auto"/>
                <w:lang w:val="en-US"/>
              </w:rPr>
            </m:ctrlPr>
          </m:fPr>
          <m:num>
            <m:r>
              <m:rPr/>
              <w:rPr>
                <w:rFonts w:ascii="Times New Roman" w:hAnsi="Times New Roman" w:eastAsia="Times New Roman" w:cs="Times New Roman"/>
                <w:sz w:val="40"/>
                <w:u w:val="none" w:color="auto"/>
              </w:rPr>
              <m:t>X</m:t>
            </m:r>
            <m:r>
              <m:rPr/>
              <w:rPr>
                <w:rFonts w:hint="default" w:ascii="Cambria Math" w:hAnsi="Cambria Math" w:eastAsia="宋体" w:cs="Times New Roman"/>
                <w:sz w:val="40"/>
                <w:u w:val="none" w:color="auto"/>
                <w:lang w:val="en-US" w:eastAsia="zh-CN"/>
              </w:rPr>
              <m:t>−</m:t>
            </m:r>
            <m:r>
              <m:rPr>
                <m:sty m:val="p"/>
              </m:rPr>
              <w:rPr>
                <w:rFonts w:ascii="Times New Roman" w:hAnsi="Times New Roman" w:eastAsia="Times New Roman" w:cs="Times New Roman"/>
                <w:sz w:val="40"/>
                <w:u w:val="none" w:color="auto"/>
              </w:rPr>
              <m:t>X</m:t>
            </m:r>
            <m:r>
              <m:rPr>
                <m:sty m:val="p"/>
              </m:rPr>
              <w:rPr>
                <w:rFonts w:ascii="Times New Roman" w:hAnsi="Times New Roman" w:eastAsia="Times New Roman" w:cs="Times New Roman"/>
                <w:sz w:val="22"/>
                <w:u w:val="none" w:color="auto"/>
                <w:vertAlign w:val="superscript"/>
              </w:rPr>
              <m:t>min</m:t>
            </m:r>
            <m:ctrlPr>
              <w:rPr>
                <w:rFonts w:ascii="Cambria Math" w:hAnsi="Cambria Math" w:cs="Times New Roman"/>
                <w:i/>
                <w:sz w:val="40"/>
                <w:u w:val="none" w:color="auto"/>
                <w:lang w:val="en-US"/>
              </w:rPr>
            </m:ctrlPr>
          </m:num>
          <m:den>
            <m:r>
              <m:rPr/>
              <w:rPr>
                <w:rFonts w:ascii="Times New Roman" w:hAnsi="Times New Roman" w:eastAsia="Times New Roman" w:cs="Times New Roman"/>
                <w:sz w:val="42"/>
                <w:u w:val="none" w:color="auto"/>
              </w:rPr>
              <m:t xml:space="preserve">X </m:t>
            </m:r>
            <m:r>
              <m:rPr>
                <m:sty m:val="p"/>
              </m:rPr>
              <w:rPr>
                <w:rFonts w:ascii="Times New Roman" w:hAnsi="Times New Roman" w:eastAsia="Times New Roman" w:cs="Times New Roman"/>
                <w:sz w:val="15"/>
                <w:u w:val="none" w:color="auto"/>
              </w:rPr>
              <m:t>max</m:t>
            </m:r>
            <m:r>
              <m:rPr/>
              <w:rPr>
                <w:rFonts w:hint="default" w:ascii="Cambria Math" w:hAnsi="Cambria Math" w:eastAsia="宋体" w:cs="Times New Roman"/>
                <w:sz w:val="40"/>
                <w:u w:val="none" w:color="auto"/>
                <w:lang w:val="en-US" w:eastAsia="zh-CN"/>
              </w:rPr>
              <m:t>−</m:t>
            </m:r>
            <m:r>
              <m:rPr>
                <m:sty m:val="p"/>
              </m:rPr>
              <w:rPr>
                <w:rFonts w:hint="default" w:ascii="Cambria Math" w:hAnsi="Cambria Math" w:eastAsia="宋体" w:cs="Times New Roman"/>
                <w:sz w:val="40"/>
                <w:u w:val="none" w:color="auto"/>
                <w:lang w:val="en-US" w:eastAsia="zh-CN"/>
              </w:rPr>
              <m:t xml:space="preserve"> </m:t>
            </m:r>
            <m:r>
              <m:rPr>
                <m:sty m:val="p"/>
              </m:rPr>
              <w:rPr>
                <w:rFonts w:ascii="Times New Roman" w:hAnsi="Times New Roman" w:eastAsia="Times New Roman" w:cs="Times New Roman"/>
                <w:sz w:val="40"/>
                <w:u w:val="none" w:color="auto"/>
              </w:rPr>
              <m:t>X</m:t>
            </m:r>
            <m:r>
              <m:rPr>
                <m:sty m:val="p"/>
              </m:rPr>
              <w:rPr>
                <w:rFonts w:ascii="Times New Roman" w:hAnsi="Times New Roman" w:eastAsia="Times New Roman" w:cs="Times New Roman"/>
                <w:sz w:val="22"/>
                <w:u w:val="none" w:color="auto"/>
                <w:vertAlign w:val="superscript"/>
              </w:rPr>
              <m:t>min</m:t>
            </m:r>
            <m:ctrlPr>
              <w:rPr>
                <w:rFonts w:ascii="Cambria Math" w:hAnsi="Cambria Math" w:cs="Times New Roman"/>
                <w:i/>
                <w:sz w:val="40"/>
                <w:u w:val="none" w:color="auto"/>
                <w:lang w:val="en-US"/>
              </w:rPr>
            </m:ctrlPr>
          </m:den>
        </m:f>
      </m:oMath>
      <w:r>
        <w:rPr>
          <w:rFonts w:ascii="Times New Roman" w:hAnsi="Times New Roman" w:eastAsia="Times New Roman" w:cs="Times New Roman"/>
          <w:sz w:val="40"/>
          <w:u w:val="none" w:color="auto"/>
        </w:rPr>
        <w:t>*Y</w:t>
      </w:r>
    </w:p>
    <w:sectPr>
      <w:pgSz w:w="11906" w:h="16838"/>
      <w:pgMar w:top="2154" w:right="1417" w:bottom="204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ambria Math">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33" w:lineRule="auto"/>
      </w:pPr>
      <w:r>
        <w:separator/>
      </w:r>
    </w:p>
  </w:footnote>
  <w:footnote w:type="continuationSeparator" w:id="1">
    <w:p>
      <w:pPr>
        <w:spacing w:line="333"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2MmY0NDI2Y2ZhNTA0YTNhNjMxMTNjNjc1ZTcxNTgifQ=="/>
  </w:docVars>
  <w:rsids>
    <w:rsidRoot w:val="59E609EA"/>
    <w:rsid w:val="0F6E2BA4"/>
    <w:rsid w:val="3E6E1274"/>
    <w:rsid w:val="59E60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33" w:lineRule="auto"/>
      <w:ind w:firstLine="631"/>
    </w:pPr>
    <w:rPr>
      <w:rFonts w:ascii="仿宋" w:hAnsi="仿宋" w:eastAsia="仿宋" w:cs="仿宋"/>
      <w:color w:val="000000"/>
      <w:kern w:val="2"/>
      <w:sz w:val="32"/>
      <w:szCs w:val="22"/>
      <w:lang w:val="en-US" w:eastAsia="zh-CN" w:bidi="ar-SA"/>
    </w:rPr>
  </w:style>
  <w:style w:type="paragraph" w:styleId="2">
    <w:name w:val="heading 1"/>
    <w:next w:val="1"/>
    <w:qFormat/>
    <w:uiPriority w:val="9"/>
    <w:pPr>
      <w:keepNext/>
      <w:keepLines/>
      <w:spacing w:after="112" w:line="259" w:lineRule="auto"/>
      <w:ind w:left="648" w:hanging="10"/>
      <w:outlineLvl w:val="0"/>
    </w:pPr>
    <w:rPr>
      <w:rFonts w:ascii="黑体" w:hAnsi="黑体" w:eastAsia="黑体" w:cs="黑体"/>
      <w:color w:val="000000"/>
      <w:kern w:val="2"/>
      <w:sz w:val="3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Gri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3312</Words>
  <Characters>3450</Characters>
  <Lines>1</Lines>
  <Paragraphs>1</Paragraphs>
  <TotalTime>8</TotalTime>
  <ScaleCrop>false</ScaleCrop>
  <LinksUpToDate>false</LinksUpToDate>
  <CharactersWithSpaces>3469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2023-02-18T05:07:00Z</dcterms:created>
  <dc:creator>木子丘山</dc:creator>
  <cp:lastModifiedBy>木子丘山</cp:lastModifiedBy>
  <dcterms:modified xsi:type="dcterms:W3CDTF">2023-02-18T07:22:46Z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E19704576BAD41BA8605F2B36310B081</vt:lpwstr>
  </property>
</Properties>
</file>