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海南大学201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五四红旗团委标兵、五四红旗团委名单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jc w:val="center"/>
        <w:rPr>
          <w:rFonts w:ascii="宋体" w:hAnsi="宋体" w:eastAsia="宋体"/>
          <w:b/>
          <w:color w:val="FF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五四红旗团委标兵（3个）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机电工程学院团委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/>
        </w:rPr>
        <w:t>经济与管理学院</w:t>
      </w:r>
      <w:r>
        <w:rPr>
          <w:rFonts w:hint="eastAsia" w:ascii="仿宋_GB2312"/>
          <w:lang w:val="en-US" w:eastAsia="zh-CN"/>
        </w:rPr>
        <w:t>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法学院团委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五四红旗团委（3个）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信息科学技术学院团委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土木建筑工程学院团委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人文传播学院团委</w:t>
      </w:r>
    </w:p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257EA"/>
    <w:rsid w:val="672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2019-04-29T16:21:00Z</dcterms:created>
  <dc:creator>轨迹</dc:creator>
  <cp:lastModifiedBy>轨迹</cp:lastModifiedBy>
  <dcterms:modified xsi:type="dcterms:W3CDTF">2019-04-29T16:21:41Z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