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b/>
          <w:bCs/>
          <w:i w:val="0"/>
          <w:caps w:val="0"/>
          <w:color w:val="000000"/>
          <w:spacing w:val="0"/>
          <w:sz w:val="32"/>
          <w:szCs w:val="32"/>
          <w:shd w:val="clear" w:fill="FFFFFF"/>
          <w:vertAlign w:val="baseline"/>
        </w:rPr>
      </w:pPr>
      <w:bookmarkStart w:id="0" w:name="bookmark45"/>
      <w:bookmarkStart w:id="1" w:name="bookmark43"/>
      <w:bookmarkStart w:id="2" w:name="bookmark44"/>
      <w:r>
        <w:rPr>
          <w:rFonts w:hint="eastAsia" w:ascii="仿宋_GB2312" w:hAnsi="仿宋_GB2312" w:eastAsia="仿宋_GB2312" w:cs="仿宋_GB2312"/>
          <w:b/>
          <w:bCs/>
          <w:sz w:val="32"/>
          <w:szCs w:val="32"/>
        </w:rPr>
        <w:t>附件</w:t>
      </w:r>
      <w:r>
        <w:rPr>
          <w:rFonts w:hint="default" w:ascii="仿宋_GB2312" w:hAnsi="仿宋_GB2312" w:eastAsia="仿宋_GB2312" w:cs="仿宋_GB2312"/>
          <w:b/>
          <w:bCs/>
          <w:sz w:val="32"/>
          <w:szCs w:val="32"/>
        </w:rPr>
        <w:t>4</w:t>
      </w:r>
    </w:p>
    <w:p>
      <w:pPr>
        <w:pStyle w:val="4"/>
        <w:keepNext/>
        <w:keepLines/>
        <w:pageBreakBefore w:val="0"/>
        <w:widowControl w:val="0"/>
        <w:shd w:val="clear" w:color="auto" w:fill="auto"/>
        <w:kinsoku/>
        <w:wordWrap/>
        <w:overflowPunct/>
        <w:topLinePunct w:val="0"/>
        <w:autoSpaceDE/>
        <w:bidi w:val="0"/>
        <w:adjustRightInd/>
        <w:snapToGrid/>
        <w:spacing w:before="0" w:after="480" w:line="560" w:lineRule="exact"/>
        <w:ind w:left="0" w:right="0" w:firstLine="0"/>
        <w:jc w:val="center"/>
        <w:textAlignment w:val="auto"/>
        <w:rPr>
          <w:rFonts w:hint="eastAsia" w:ascii="华文中宋" w:hAnsi="华文中宋" w:eastAsia="华文中宋" w:cs="华文中宋"/>
          <w:b/>
          <w:bCs/>
          <w:sz w:val="44"/>
          <w:szCs w:val="44"/>
        </w:rPr>
      </w:pPr>
      <w:bookmarkStart w:id="36" w:name="_GoBack"/>
      <w:r>
        <w:rPr>
          <w:rFonts w:hint="eastAsia" w:ascii="华文中宋" w:hAnsi="华文中宋" w:eastAsia="华文中宋" w:cs="华文中宋"/>
          <w:b/>
          <w:bCs/>
          <w:color w:val="000000"/>
          <w:spacing w:val="0"/>
          <w:w w:val="100"/>
          <w:position w:val="0"/>
          <w:sz w:val="44"/>
          <w:szCs w:val="44"/>
        </w:rPr>
        <w:t>第七届中国国际</w:t>
      </w:r>
      <w:r>
        <w:rPr>
          <w:rFonts w:hint="eastAsia" w:ascii="华文中宋" w:hAnsi="华文中宋" w:eastAsia="华文中宋" w:cs="华文中宋"/>
          <w:b/>
          <w:bCs/>
          <w:color w:val="000000"/>
          <w:spacing w:val="0"/>
          <w:w w:val="100"/>
          <w:position w:val="0"/>
          <w:sz w:val="44"/>
          <w:szCs w:val="44"/>
          <w:lang w:val="zh-CN" w:eastAsia="zh-CN" w:bidi="zh-CN"/>
        </w:rPr>
        <w:t>“互</w:t>
      </w:r>
      <w:r>
        <w:rPr>
          <w:rFonts w:hint="eastAsia" w:ascii="华文中宋" w:hAnsi="华文中宋" w:eastAsia="华文中宋" w:cs="华文中宋"/>
          <w:b/>
          <w:bCs/>
          <w:color w:val="000000"/>
          <w:spacing w:val="0"/>
          <w:w w:val="100"/>
          <w:position w:val="0"/>
          <w:sz w:val="44"/>
          <w:szCs w:val="44"/>
        </w:rPr>
        <w:t>联网+”大学生</w:t>
      </w:r>
      <w:r>
        <w:rPr>
          <w:rFonts w:hint="eastAsia" w:ascii="华文中宋" w:hAnsi="华文中宋" w:eastAsia="华文中宋" w:cs="华文中宋"/>
          <w:b/>
          <w:bCs/>
          <w:color w:val="000000"/>
          <w:spacing w:val="0"/>
          <w:w w:val="100"/>
          <w:position w:val="0"/>
          <w:sz w:val="44"/>
          <w:szCs w:val="44"/>
        </w:rPr>
        <w:br w:type="textWrapping"/>
      </w:r>
      <w:r>
        <w:rPr>
          <w:rFonts w:hint="eastAsia" w:ascii="华文中宋" w:hAnsi="华文中宋" w:eastAsia="华文中宋" w:cs="华文中宋"/>
          <w:b/>
          <w:bCs/>
          <w:color w:val="000000"/>
          <w:spacing w:val="0"/>
          <w:w w:val="100"/>
          <w:position w:val="0"/>
          <w:sz w:val="44"/>
          <w:szCs w:val="44"/>
        </w:rPr>
        <w:t>创新创业大赛高教主赛道方案</w:t>
      </w:r>
      <w:bookmarkEnd w:id="0"/>
      <w:bookmarkEnd w:id="1"/>
      <w:bookmarkEnd w:id="2"/>
    </w:p>
    <w:bookmarkEnd w:id="36"/>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第七届中国国际“互联网+”大学生创新创业大赛设高教主赛道（含国际参赛项目）。具体实施方案如下。</w:t>
      </w:r>
    </w:p>
    <w:p>
      <w:pPr>
        <w:pStyle w:val="5"/>
        <w:keepNext w:val="0"/>
        <w:keepLines w:val="0"/>
        <w:pageBreakBefore w:val="0"/>
        <w:widowControl w:val="0"/>
        <w:shd w:val="clear" w:color="auto" w:fill="auto"/>
        <w:tabs>
          <w:tab w:val="left" w:pos="1362"/>
        </w:tabs>
        <w:kinsoku/>
        <w:wordWrap/>
        <w:overflowPunct/>
        <w:topLinePunct w:val="0"/>
        <w:autoSpaceDE/>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bCs/>
          <w:sz w:val="32"/>
          <w:szCs w:val="32"/>
        </w:rPr>
      </w:pPr>
      <w:bookmarkStart w:id="3" w:name="bookmark46"/>
      <w:r>
        <w:rPr>
          <w:rFonts w:hint="eastAsia" w:ascii="仿宋_GB2312" w:hAnsi="仿宋_GB2312" w:eastAsia="仿宋_GB2312" w:cs="仿宋_GB2312"/>
          <w:b/>
          <w:bCs/>
          <w:color w:val="000000"/>
          <w:spacing w:val="0"/>
          <w:w w:val="100"/>
          <w:position w:val="0"/>
          <w:sz w:val="32"/>
          <w:szCs w:val="32"/>
        </w:rPr>
        <w:t>一</w:t>
      </w:r>
      <w:bookmarkEnd w:id="3"/>
      <w:r>
        <w:rPr>
          <w:rFonts w:hint="eastAsia" w:ascii="仿宋_GB2312" w:hAnsi="仿宋_GB2312" w:eastAsia="仿宋_GB2312" w:cs="仿宋_GB2312"/>
          <w:b/>
          <w:bCs/>
          <w:color w:val="000000"/>
          <w:spacing w:val="0"/>
          <w:w w:val="100"/>
          <w:position w:val="0"/>
          <w:sz w:val="32"/>
          <w:szCs w:val="32"/>
        </w:rPr>
        <w:t>、参赛项目类型</w:t>
      </w:r>
    </w:p>
    <w:p>
      <w:pPr>
        <w:pStyle w:val="5"/>
        <w:keepNext w:val="0"/>
        <w:keepLines w:val="0"/>
        <w:pageBreakBefore w:val="0"/>
        <w:widowControl w:val="0"/>
        <w:numPr>
          <w:ilvl w:val="0"/>
          <w:numId w:val="0"/>
        </w:numPr>
        <w:shd w:val="clear" w:color="auto" w:fill="auto"/>
        <w:tabs>
          <w:tab w:val="left" w:pos="1240"/>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4" w:name="bookmark47"/>
      <w:bookmarkEnd w:id="4"/>
      <w:r>
        <w:rPr>
          <w:rFonts w:hint="eastAsia" w:ascii="仿宋_GB2312" w:hAnsi="仿宋_GB2312" w:eastAsia="仿宋_GB2312" w:cs="仿宋_GB2312"/>
          <w:color w:val="000000"/>
          <w:spacing w:val="0"/>
          <w:w w:val="100"/>
          <w:position w:val="0"/>
          <w:sz w:val="32"/>
          <w:szCs w:val="32"/>
          <w:lang w:val="en-US" w:eastAsia="zh-CN" w:bidi="zh-CN"/>
        </w:rPr>
        <w:t>1.</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联网+”现代农业，包括农林牧渔等；</w:t>
      </w:r>
    </w:p>
    <w:p>
      <w:pPr>
        <w:pStyle w:val="5"/>
        <w:keepNext w:val="0"/>
        <w:keepLines w:val="0"/>
        <w:pageBreakBefore w:val="0"/>
        <w:widowControl w:val="0"/>
        <w:numPr>
          <w:ilvl w:val="0"/>
          <w:numId w:val="0"/>
        </w:numPr>
        <w:shd w:val="clear" w:color="auto" w:fill="auto"/>
        <w:tabs>
          <w:tab w:val="left" w:pos="104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5" w:name="bookmark48"/>
      <w:bookmarkEnd w:id="5"/>
      <w:r>
        <w:rPr>
          <w:rFonts w:hint="eastAsia" w:ascii="仿宋_GB2312" w:hAnsi="仿宋_GB2312" w:eastAsia="仿宋_GB2312" w:cs="仿宋_GB2312"/>
          <w:color w:val="000000"/>
          <w:spacing w:val="0"/>
          <w:w w:val="100"/>
          <w:position w:val="0"/>
          <w:sz w:val="32"/>
          <w:szCs w:val="32"/>
          <w:lang w:val="en-US" w:eastAsia="zh-CN" w:bidi="zh-CN"/>
        </w:rPr>
        <w:t>2.</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联网+”制造业，包括先进制造、智能硬件、工业 自动化、生物医药、节能环保、新材料、军工等；</w:t>
      </w:r>
    </w:p>
    <w:p>
      <w:pPr>
        <w:pStyle w:val="5"/>
        <w:keepNext w:val="0"/>
        <w:keepLines w:val="0"/>
        <w:pageBreakBefore w:val="0"/>
        <w:widowControl w:val="0"/>
        <w:numPr>
          <w:ilvl w:val="0"/>
          <w:numId w:val="0"/>
        </w:numPr>
        <w:shd w:val="clear" w:color="auto" w:fill="auto"/>
        <w:tabs>
          <w:tab w:val="left" w:pos="105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6" w:name="bookmark49"/>
      <w:bookmarkEnd w:id="6"/>
      <w:r>
        <w:rPr>
          <w:rFonts w:hint="eastAsia" w:ascii="仿宋_GB2312" w:hAnsi="仿宋_GB2312" w:eastAsia="仿宋_GB2312" w:cs="仿宋_GB2312"/>
          <w:color w:val="000000"/>
          <w:spacing w:val="0"/>
          <w:w w:val="100"/>
          <w:position w:val="0"/>
          <w:sz w:val="32"/>
          <w:szCs w:val="32"/>
          <w:lang w:val="en-US" w:eastAsia="zh-CN" w:bidi="zh-CN"/>
        </w:rPr>
        <w:t>3.</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联网+”信息技术服务，包括人工智能技术、物联 网技术、网络空间安全技术、大数据、云计算、工具软件、社交网络、媒体门户、企业服务、下一代通讯技术、区块链等；</w:t>
      </w:r>
    </w:p>
    <w:p>
      <w:pPr>
        <w:pStyle w:val="5"/>
        <w:keepNext w:val="0"/>
        <w:keepLines w:val="0"/>
        <w:pageBreakBefore w:val="0"/>
        <w:widowControl w:val="0"/>
        <w:numPr>
          <w:ilvl w:val="0"/>
          <w:numId w:val="0"/>
        </w:numPr>
        <w:shd w:val="clear" w:color="auto" w:fill="auto"/>
        <w:tabs>
          <w:tab w:val="left" w:pos="105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7" w:name="bookmark50"/>
      <w:bookmarkEnd w:id="7"/>
      <w:r>
        <w:rPr>
          <w:rFonts w:hint="eastAsia" w:ascii="仿宋_GB2312" w:hAnsi="仿宋_GB2312" w:eastAsia="仿宋_GB2312" w:cs="仿宋_GB2312"/>
          <w:color w:val="000000"/>
          <w:spacing w:val="0"/>
          <w:w w:val="100"/>
          <w:position w:val="0"/>
          <w:sz w:val="32"/>
          <w:szCs w:val="32"/>
          <w:lang w:val="en-US" w:eastAsia="zh-CN" w:bidi="zh-CN"/>
        </w:rPr>
        <w:t>4.</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联网+”文化创意服务，包括广播影视、设计服务、文化艺术、旅游休闲、艺术品交易、广告会展、动漫娱乐、体育竞技等；</w:t>
      </w:r>
    </w:p>
    <w:p>
      <w:pPr>
        <w:pStyle w:val="5"/>
        <w:keepNext w:val="0"/>
        <w:keepLines w:val="0"/>
        <w:pageBreakBefore w:val="0"/>
        <w:widowControl w:val="0"/>
        <w:numPr>
          <w:ilvl w:val="0"/>
          <w:numId w:val="0"/>
        </w:numPr>
        <w:shd w:val="clear" w:color="auto" w:fill="auto"/>
        <w:tabs>
          <w:tab w:val="left" w:pos="104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8" w:name="bookmark51"/>
      <w:bookmarkEnd w:id="8"/>
      <w:r>
        <w:rPr>
          <w:rFonts w:hint="eastAsia" w:ascii="仿宋_GB2312" w:hAnsi="仿宋_GB2312" w:eastAsia="仿宋_GB2312" w:cs="仿宋_GB2312"/>
          <w:color w:val="000000"/>
          <w:spacing w:val="0"/>
          <w:w w:val="100"/>
          <w:position w:val="0"/>
          <w:sz w:val="32"/>
          <w:szCs w:val="32"/>
          <w:lang w:val="en-US" w:eastAsia="zh-CN" w:bidi="zh-CN"/>
        </w:rPr>
        <w:t>5.</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联网+”社会服务，包括电子商务、消费生活、金 融、财经法务、房产家居、高效物流、教育培训、医疗健康、交通、人力资源服务等。</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参赛项目应结合以上分类及自身项目实际，合理选择项目类型。参赛项目不只限于</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联网+”项目，鼓励各类创新 创业项目参赛，根据行业背景选择相应类型。</w:t>
      </w:r>
    </w:p>
    <w:p>
      <w:pPr>
        <w:pStyle w:val="5"/>
        <w:keepNext w:val="0"/>
        <w:keepLines w:val="0"/>
        <w:pageBreakBefore w:val="0"/>
        <w:widowControl w:val="0"/>
        <w:shd w:val="clear" w:color="auto" w:fill="auto"/>
        <w:tabs>
          <w:tab w:val="left" w:pos="1362"/>
        </w:tabs>
        <w:kinsoku/>
        <w:wordWrap/>
        <w:overflowPunct/>
        <w:topLinePunct w:val="0"/>
        <w:autoSpaceDE/>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bCs/>
          <w:sz w:val="32"/>
          <w:szCs w:val="32"/>
        </w:rPr>
      </w:pPr>
      <w:bookmarkStart w:id="9" w:name="bookmark52"/>
      <w:r>
        <w:rPr>
          <w:rFonts w:hint="eastAsia" w:ascii="仿宋_GB2312" w:hAnsi="仿宋_GB2312" w:eastAsia="仿宋_GB2312" w:cs="仿宋_GB2312"/>
          <w:b/>
          <w:bCs/>
          <w:color w:val="000000"/>
          <w:spacing w:val="0"/>
          <w:w w:val="100"/>
          <w:position w:val="0"/>
          <w:sz w:val="32"/>
          <w:szCs w:val="32"/>
        </w:rPr>
        <w:t>二</w:t>
      </w:r>
      <w:bookmarkEnd w:id="9"/>
      <w:r>
        <w:rPr>
          <w:rFonts w:hint="eastAsia" w:ascii="仿宋_GB2312" w:hAnsi="仿宋_GB2312" w:eastAsia="仿宋_GB2312" w:cs="仿宋_GB2312"/>
          <w:b/>
          <w:bCs/>
          <w:color w:val="000000"/>
          <w:spacing w:val="0"/>
          <w:w w:val="100"/>
          <w:position w:val="0"/>
          <w:sz w:val="32"/>
          <w:szCs w:val="32"/>
        </w:rPr>
        <w:t>、参赛方式和要求</w:t>
      </w:r>
    </w:p>
    <w:p>
      <w:pPr>
        <w:pStyle w:val="5"/>
        <w:keepNext w:val="0"/>
        <w:keepLines w:val="0"/>
        <w:pageBreakBefore w:val="0"/>
        <w:widowControl w:val="0"/>
        <w:numPr>
          <w:ilvl w:val="0"/>
          <w:numId w:val="0"/>
        </w:numPr>
        <w:shd w:val="clear" w:color="auto" w:fill="auto"/>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0" w:name="bookmark53"/>
      <w:bookmarkEnd w:id="10"/>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本赛道以团队为单位报名参赛。允许跨校组建参赛团队，每个团队的成员不少于3人，原则上不多于15人（含团队负责人），须为项目的实际核心成员。参赛团队所报参赛创业项目，须为本团队策划或经营的项目，不得借用他人项目参赛。</w:t>
      </w:r>
    </w:p>
    <w:p>
      <w:pPr>
        <w:pStyle w:val="5"/>
        <w:keepNext w:val="0"/>
        <w:keepLines w:val="0"/>
        <w:pageBreakBefore w:val="0"/>
        <w:widowControl w:val="0"/>
        <w:numPr>
          <w:ilvl w:val="0"/>
          <w:numId w:val="0"/>
        </w:numPr>
        <w:shd w:val="clear" w:color="auto" w:fill="auto"/>
        <w:tabs>
          <w:tab w:val="left" w:pos="1243"/>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1" w:name="bookmark54"/>
      <w:bookmarkEnd w:id="11"/>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pStyle w:val="5"/>
        <w:keepNext w:val="0"/>
        <w:keepLines w:val="0"/>
        <w:pageBreakBefore w:val="0"/>
        <w:widowControl w:val="0"/>
        <w:numPr>
          <w:ilvl w:val="0"/>
          <w:numId w:val="0"/>
        </w:numPr>
        <w:shd w:val="clear" w:color="auto" w:fill="auto"/>
        <w:tabs>
          <w:tab w:val="left" w:pos="1238"/>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2" w:name="bookmark55"/>
      <w:bookmarkEnd w:id="12"/>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所有参赛材料和现场答辩原则上使用中文或英文，如有其他语言需求，请联系大赛组委会。</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三</w:t>
      </w:r>
      <w:r>
        <w:rPr>
          <w:rFonts w:hint="eastAsia" w:ascii="仿宋_GB2312" w:hAnsi="仿宋_GB2312" w:eastAsia="仿宋_GB2312" w:cs="仿宋_GB2312"/>
          <w:b/>
          <w:bCs/>
          <w:color w:val="000000"/>
          <w:spacing w:val="0"/>
          <w:w w:val="100"/>
          <w:position w:val="0"/>
          <w:sz w:val="32"/>
          <w:szCs w:val="32"/>
          <w:lang w:eastAsia="zh-CN"/>
        </w:rPr>
        <w:t>、</w:t>
      </w:r>
      <w:r>
        <w:rPr>
          <w:rFonts w:hint="eastAsia" w:ascii="仿宋_GB2312" w:hAnsi="仿宋_GB2312" w:eastAsia="仿宋_GB2312" w:cs="仿宋_GB2312"/>
          <w:b/>
          <w:bCs/>
          <w:color w:val="000000"/>
          <w:spacing w:val="0"/>
          <w:w w:val="100"/>
          <w:position w:val="0"/>
          <w:sz w:val="32"/>
          <w:szCs w:val="32"/>
        </w:rPr>
        <w:t>参赛组别和对象</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根据参赛项目所处的创业阶段、已获投资情况和项目特 点等，分为本科生创意组、研究生创意组、初创组、成长组、师生共创组。具体参赛条件如下：</w:t>
      </w:r>
    </w:p>
    <w:p>
      <w:pPr>
        <w:pStyle w:val="5"/>
        <w:keepNext w:val="0"/>
        <w:keepLines w:val="0"/>
        <w:pageBreakBefore w:val="0"/>
        <w:widowControl w:val="0"/>
        <w:shd w:val="clear" w:color="auto" w:fill="auto"/>
        <w:tabs>
          <w:tab w:val="left" w:pos="1803"/>
        </w:tabs>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3" w:name="bookmark56"/>
      <w:r>
        <w:rPr>
          <w:rFonts w:hint="eastAsia" w:ascii="仿宋_GB2312" w:hAnsi="仿宋_GB2312" w:eastAsia="仿宋_GB2312" w:cs="仿宋_GB2312"/>
          <w:color w:val="000000"/>
          <w:spacing w:val="0"/>
          <w:w w:val="100"/>
          <w:position w:val="0"/>
          <w:sz w:val="32"/>
          <w:szCs w:val="32"/>
        </w:rPr>
        <w:t>（</w:t>
      </w:r>
      <w:bookmarkEnd w:id="13"/>
      <w:r>
        <w:rPr>
          <w:rFonts w:hint="eastAsia" w:ascii="仿宋_GB2312" w:hAnsi="仿宋_GB2312" w:eastAsia="仿宋_GB2312" w:cs="仿宋_GB2312"/>
          <w:color w:val="000000"/>
          <w:spacing w:val="0"/>
          <w:w w:val="100"/>
          <w:position w:val="0"/>
          <w:sz w:val="32"/>
          <w:szCs w:val="32"/>
        </w:rPr>
        <w:t>一）本科生创意组</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参赛项目具有较好的创意和较为成型的产品原型或服务模式，在大赛通知下发之日前尚未完成工商等各类登记注册，并符合以下条件：</w:t>
      </w:r>
    </w:p>
    <w:p>
      <w:pPr>
        <w:pStyle w:val="5"/>
        <w:keepNext w:val="0"/>
        <w:keepLines w:val="0"/>
        <w:pageBreakBefore w:val="0"/>
        <w:widowControl w:val="0"/>
        <w:numPr>
          <w:ilvl w:val="0"/>
          <w:numId w:val="0"/>
        </w:numPr>
        <w:shd w:val="clear" w:color="auto" w:fill="auto"/>
        <w:tabs>
          <w:tab w:val="left" w:pos="1210"/>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4" w:name="bookmark57"/>
      <w:bookmarkEnd w:id="14"/>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参赛申报人须为团队负责人，团队负责人及成员须均 为普通高等学校全日制在校本科生或专科生。</w:t>
      </w:r>
    </w:p>
    <w:p>
      <w:pPr>
        <w:pStyle w:val="5"/>
        <w:keepNext w:val="0"/>
        <w:keepLines w:val="0"/>
        <w:pageBreakBefore w:val="0"/>
        <w:widowControl w:val="0"/>
        <w:numPr>
          <w:ilvl w:val="0"/>
          <w:numId w:val="0"/>
        </w:numPr>
        <w:shd w:val="clear" w:color="auto" w:fill="auto"/>
        <w:tabs>
          <w:tab w:val="left" w:pos="1186"/>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5" w:name="bookmark58"/>
      <w:bookmarkEnd w:id="15"/>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学校科技成果转化项目不能参加本组比赛（科技成果 的完成人、所有人中参赛申报人排名第一的除外）。</w:t>
      </w:r>
    </w:p>
    <w:p>
      <w:pPr>
        <w:pStyle w:val="5"/>
        <w:keepNext w:val="0"/>
        <w:keepLines w:val="0"/>
        <w:pageBreakBefore w:val="0"/>
        <w:widowControl w:val="0"/>
        <w:shd w:val="clear" w:color="auto" w:fill="auto"/>
        <w:tabs>
          <w:tab w:val="left" w:pos="1808"/>
        </w:tabs>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16" w:name="bookmark59"/>
    </w:p>
    <w:p>
      <w:pPr>
        <w:pStyle w:val="5"/>
        <w:keepNext w:val="0"/>
        <w:keepLines w:val="0"/>
        <w:pageBreakBefore w:val="0"/>
        <w:widowControl w:val="0"/>
        <w:shd w:val="clear" w:color="auto" w:fill="auto"/>
        <w:tabs>
          <w:tab w:val="left" w:pos="1808"/>
        </w:tabs>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w:t>
      </w:r>
      <w:bookmarkEnd w:id="16"/>
      <w:r>
        <w:rPr>
          <w:rFonts w:hint="eastAsia" w:ascii="仿宋_GB2312" w:hAnsi="仿宋_GB2312" w:eastAsia="仿宋_GB2312" w:cs="仿宋_GB2312"/>
          <w:color w:val="000000"/>
          <w:spacing w:val="0"/>
          <w:w w:val="100"/>
          <w:position w:val="0"/>
          <w:sz w:val="32"/>
          <w:szCs w:val="32"/>
        </w:rPr>
        <w:t>二）研究生创意组</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参赛项目具有较好的创意和较为成型的产品原型或服务模式，在大赛通知下发之日前尚未完成工商等各类登记注册，并符合以下条件：</w:t>
      </w:r>
    </w:p>
    <w:p>
      <w:pPr>
        <w:pStyle w:val="5"/>
        <w:keepNext w:val="0"/>
        <w:keepLines w:val="0"/>
        <w:pageBreakBefore w:val="0"/>
        <w:widowControl w:val="0"/>
        <w:numPr>
          <w:ilvl w:val="0"/>
          <w:numId w:val="0"/>
        </w:numPr>
        <w:shd w:val="clear" w:color="auto" w:fill="auto"/>
        <w:tabs>
          <w:tab w:val="left" w:pos="1045"/>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7" w:name="bookmark60"/>
      <w:bookmarkEnd w:id="17"/>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参赛申报人须为团队负责人，团队负责人和团队成员须为普通高等学校全日制在校研究生或本专科生。</w:t>
      </w:r>
    </w:p>
    <w:p>
      <w:pPr>
        <w:pStyle w:val="5"/>
        <w:keepNext w:val="0"/>
        <w:keepLines w:val="0"/>
        <w:pageBreakBefore w:val="0"/>
        <w:widowControl w:val="0"/>
        <w:numPr>
          <w:ilvl w:val="0"/>
          <w:numId w:val="0"/>
        </w:numPr>
        <w:shd w:val="clear" w:color="auto" w:fill="auto"/>
        <w:tabs>
          <w:tab w:val="left" w:pos="1026"/>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8" w:name="bookmark61"/>
      <w:bookmarkEnd w:id="18"/>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学校科技成果转化项目不能参加本组比赛（科技成果的完成人、所有人中参赛申报人排名第一的除外）。</w:t>
      </w:r>
    </w:p>
    <w:p>
      <w:pPr>
        <w:pStyle w:val="5"/>
        <w:keepNext w:val="0"/>
        <w:keepLines w:val="0"/>
        <w:pageBreakBefore w:val="0"/>
        <w:widowControl w:val="0"/>
        <w:shd w:val="clear" w:color="auto" w:fill="auto"/>
        <w:tabs>
          <w:tab w:val="left" w:pos="1723"/>
        </w:tabs>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9" w:name="bookmark62"/>
      <w:r>
        <w:rPr>
          <w:rFonts w:hint="eastAsia" w:ascii="仿宋_GB2312" w:hAnsi="仿宋_GB2312" w:eastAsia="仿宋_GB2312" w:cs="仿宋_GB2312"/>
          <w:color w:val="000000"/>
          <w:spacing w:val="0"/>
          <w:w w:val="100"/>
          <w:position w:val="0"/>
          <w:sz w:val="32"/>
          <w:szCs w:val="32"/>
        </w:rPr>
        <w:t>（</w:t>
      </w:r>
      <w:bookmarkEnd w:id="19"/>
      <w:r>
        <w:rPr>
          <w:rFonts w:hint="eastAsia" w:ascii="仿宋_GB2312" w:hAnsi="仿宋_GB2312" w:eastAsia="仿宋_GB2312" w:cs="仿宋_GB2312"/>
          <w:color w:val="000000"/>
          <w:spacing w:val="0"/>
          <w:w w:val="100"/>
          <w:position w:val="0"/>
          <w:sz w:val="32"/>
          <w:szCs w:val="32"/>
        </w:rPr>
        <w:t>三）初创组</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参赛项目工商等各类登记注册未满3年（2018年3月1日后注册），且获机构或个人股权投资不超过1轮次，并符合以下条件：</w:t>
      </w:r>
    </w:p>
    <w:p>
      <w:pPr>
        <w:pStyle w:val="5"/>
        <w:keepNext w:val="0"/>
        <w:keepLines w:val="0"/>
        <w:pageBreakBefore w:val="0"/>
        <w:widowControl w:val="0"/>
        <w:numPr>
          <w:ilvl w:val="0"/>
          <w:numId w:val="0"/>
        </w:numPr>
        <w:shd w:val="clear" w:color="auto" w:fill="auto"/>
        <w:tabs>
          <w:tab w:val="left" w:pos="105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0" w:name="bookmark63"/>
      <w:bookmarkEnd w:id="20"/>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参赛申报人须为初创企业法定代表人，须为普通高等 学校全日制在校生（包括本专科生、研究生，不含在职教育）,或毕业5年以内的学生（即2016年之后的毕业生，不含在职 教育）。企业法定代表人在大赛通知发布之日后进行变更的不予认可。</w:t>
      </w:r>
    </w:p>
    <w:p>
      <w:pPr>
        <w:pStyle w:val="5"/>
        <w:keepNext w:val="0"/>
        <w:keepLines w:val="0"/>
        <w:pageBreakBefore w:val="0"/>
        <w:widowControl w:val="0"/>
        <w:numPr>
          <w:ilvl w:val="0"/>
          <w:numId w:val="0"/>
        </w:numPr>
        <w:shd w:val="clear" w:color="auto" w:fill="auto"/>
        <w:tabs>
          <w:tab w:val="left" w:pos="1050"/>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1" w:name="bookmark64"/>
      <w:bookmarkEnd w:id="21"/>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初创组项目的股权结构中，参赛企业法定代表人的股权不得少于10%,参赛成员股权合计不得少于1/3。</w:t>
      </w:r>
    </w:p>
    <w:p>
      <w:pPr>
        <w:pStyle w:val="5"/>
        <w:keepNext w:val="0"/>
        <w:keepLines w:val="0"/>
        <w:pageBreakBefore w:val="0"/>
        <w:widowControl w:val="0"/>
        <w:numPr>
          <w:ilvl w:val="0"/>
          <w:numId w:val="0"/>
        </w:numPr>
        <w:shd w:val="clear" w:color="auto" w:fill="auto"/>
        <w:tabs>
          <w:tab w:val="left" w:pos="106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2" w:name="bookmark65"/>
      <w:bookmarkEnd w:id="22"/>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学校科技成果转化项目（不含基于国家级重大、重点科研项目的科研成果转化项目）可以参加初创组，允许将拥有科研成果的教师的股权与学生所持股权合并计算，合并计算的股权不得少于51% （学生团队所持股权比例不得低于26%）。</w:t>
      </w:r>
    </w:p>
    <w:p>
      <w:pPr>
        <w:pStyle w:val="5"/>
        <w:keepNext w:val="0"/>
        <w:keepLines w:val="0"/>
        <w:pageBreakBefore w:val="0"/>
        <w:widowControl w:val="0"/>
        <w:shd w:val="clear" w:color="auto" w:fill="auto"/>
        <w:tabs>
          <w:tab w:val="left" w:pos="1723"/>
        </w:tabs>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23" w:name="bookmark66"/>
      <w:r>
        <w:rPr>
          <w:rFonts w:hint="eastAsia" w:ascii="仿宋_GB2312" w:hAnsi="仿宋_GB2312" w:eastAsia="仿宋_GB2312" w:cs="仿宋_GB2312"/>
          <w:color w:val="000000"/>
          <w:spacing w:val="0"/>
          <w:w w:val="100"/>
          <w:position w:val="0"/>
          <w:sz w:val="32"/>
          <w:szCs w:val="32"/>
        </w:rPr>
        <w:t>（</w:t>
      </w:r>
      <w:bookmarkEnd w:id="23"/>
      <w:r>
        <w:rPr>
          <w:rFonts w:hint="eastAsia" w:ascii="仿宋_GB2312" w:hAnsi="仿宋_GB2312" w:eastAsia="仿宋_GB2312" w:cs="仿宋_GB2312"/>
          <w:color w:val="000000"/>
          <w:spacing w:val="0"/>
          <w:w w:val="100"/>
          <w:position w:val="0"/>
          <w:sz w:val="32"/>
          <w:szCs w:val="32"/>
        </w:rPr>
        <w:t>四）成长组</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参赛项目工商等各类登记注册3年以上（2018年3月1日前注册）；或工商等各类登记注册未满3年（2018年3月1日后注册），且获机构或个人股权投资2轮次以上（含2轮次），并符合以下条件：</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24" w:name="bookmark67"/>
      <w:bookmarkEnd w:id="24"/>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参赛申报人须为企业法定代表人，须为普通高等学校全日制在校生（包括本专科生、研究生，不含在职教育），或毕业5年以内的学生（即2016年之后的毕业生，不含在职教 育）。企业法定代表人在大赛通知发布之日后进行变更的不予认可。</w:t>
      </w:r>
    </w:p>
    <w:p>
      <w:pPr>
        <w:pStyle w:val="5"/>
        <w:keepNext w:val="0"/>
        <w:keepLines w:val="0"/>
        <w:pageBreakBefore w:val="0"/>
        <w:widowControl w:val="0"/>
        <w:numPr>
          <w:ilvl w:val="0"/>
          <w:numId w:val="0"/>
        </w:numPr>
        <w:shd w:val="clear" w:color="auto" w:fill="auto"/>
        <w:tabs>
          <w:tab w:val="left" w:pos="1212"/>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5" w:name="bookmark68"/>
      <w:bookmarkEnd w:id="25"/>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成长组项目的股权结构中，参赛企业法定代表人的股权不得少于10%,参赛成员股权合计不得少于1/3。</w:t>
      </w:r>
    </w:p>
    <w:p>
      <w:pPr>
        <w:pStyle w:val="5"/>
        <w:keepNext w:val="0"/>
        <w:keepLines w:val="0"/>
        <w:pageBreakBefore w:val="0"/>
        <w:widowControl w:val="0"/>
        <w:numPr>
          <w:ilvl w:val="0"/>
          <w:numId w:val="0"/>
        </w:numPr>
        <w:shd w:val="clear" w:color="auto" w:fill="auto"/>
        <w:tabs>
          <w:tab w:val="left" w:pos="1236"/>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6" w:name="bookmark69"/>
      <w:bookmarkEnd w:id="26"/>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学校科技成果转化项目（不含基于国家级重大、重点科研项目的科研成果转化项目</w:t>
      </w:r>
      <w:r>
        <w:rPr>
          <w:rFonts w:hint="eastAsia" w:ascii="仿宋_GB2312" w:hAnsi="仿宋_GB2312" w:eastAsia="仿宋_GB2312" w:cs="仿宋_GB2312"/>
          <w:i/>
          <w:iCs/>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rPr>
        <w:t>可以参加成长组，允许将拥有科研成果的教师的股权与学生所持股权合并计算，合并计算的股权不得少于51%（学生团队所持股权比例不得低于26%）。</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sz w:val="32"/>
          <w:szCs w:val="32"/>
        </w:rPr>
      </w:pPr>
      <w:bookmarkStart w:id="27" w:name="bookmark70"/>
      <w:r>
        <w:rPr>
          <w:rFonts w:hint="eastAsia" w:ascii="仿宋_GB2312" w:hAnsi="仿宋_GB2312" w:eastAsia="仿宋_GB2312" w:cs="仿宋_GB2312"/>
          <w:color w:val="000000"/>
          <w:spacing w:val="0"/>
          <w:w w:val="100"/>
          <w:position w:val="0"/>
          <w:sz w:val="32"/>
          <w:szCs w:val="32"/>
        </w:rPr>
        <w:t>（</w:t>
      </w:r>
      <w:bookmarkEnd w:id="27"/>
      <w:r>
        <w:rPr>
          <w:rFonts w:hint="eastAsia" w:ascii="仿宋_GB2312" w:hAnsi="仿宋_GB2312" w:eastAsia="仿宋_GB2312" w:cs="仿宋_GB2312"/>
          <w:color w:val="000000"/>
          <w:spacing w:val="0"/>
          <w:w w:val="100"/>
          <w:position w:val="0"/>
          <w:sz w:val="32"/>
          <w:szCs w:val="32"/>
        </w:rPr>
        <w:t>五）师生共创组</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基于国家级重大、重点科研项目的科研成果转化项目， 或者教师与学生共同参与创业且教师所占权重比例大于学 生（如已注册成立公司，教师持股比例大于学生）的项目， 并符合以下条件：</w:t>
      </w:r>
    </w:p>
    <w:p>
      <w:pPr>
        <w:pStyle w:val="5"/>
        <w:keepNext w:val="0"/>
        <w:keepLines w:val="0"/>
        <w:pageBreakBefore w:val="0"/>
        <w:widowControl w:val="0"/>
        <w:numPr>
          <w:ilvl w:val="0"/>
          <w:numId w:val="0"/>
        </w:numPr>
        <w:shd w:val="clear" w:color="auto" w:fill="auto"/>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8" w:name="bookmark71"/>
      <w:bookmarkEnd w:id="28"/>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参赛项目如已注册成立公司，公司注册年限不得超过</w:t>
      </w:r>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年（2016年3月1日后注册），师生均可为公司法定代表 人。企业法定代表人在大赛通知发布之日后进行变更的不予认可。股权结构中，师生股权合并计算不低于51%,且学生 参赛成员合计股份不低于10%。</w:t>
      </w:r>
    </w:p>
    <w:p>
      <w:pPr>
        <w:pStyle w:val="5"/>
        <w:keepNext w:val="0"/>
        <w:keepLines w:val="0"/>
        <w:pageBreakBefore w:val="0"/>
        <w:widowControl w:val="0"/>
        <w:numPr>
          <w:ilvl w:val="0"/>
          <w:numId w:val="0"/>
        </w:numPr>
        <w:shd w:val="clear" w:color="auto" w:fill="auto"/>
        <w:tabs>
          <w:tab w:val="left" w:pos="1050"/>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29" w:name="bookmark72"/>
      <w:bookmarkEnd w:id="29"/>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参赛申报人须为普通高等学校全日制在校生（包括本专科生、研究生，不含在职教育），或毕业5年以内的学生</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（即2016年之后的毕业生，不含在职教育）。</w:t>
      </w:r>
    </w:p>
    <w:p>
      <w:pPr>
        <w:pStyle w:val="5"/>
        <w:keepNext w:val="0"/>
        <w:keepLines w:val="0"/>
        <w:pageBreakBefore w:val="0"/>
        <w:widowControl w:val="0"/>
        <w:numPr>
          <w:ilvl w:val="0"/>
          <w:numId w:val="0"/>
        </w:numPr>
        <w:shd w:val="clear" w:color="auto" w:fill="auto"/>
        <w:tabs>
          <w:tab w:val="left" w:pos="1016"/>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30" w:name="bookmark73"/>
      <w:bookmarkEnd w:id="30"/>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参赛项目中的教师须为高校在编教师（2021年6月1日前正式入职）。</w:t>
      </w:r>
    </w:p>
    <w:p>
      <w:pPr>
        <w:pStyle w:val="5"/>
        <w:keepNext w:val="0"/>
        <w:keepLines w:val="0"/>
        <w:pageBreakBefore w:val="0"/>
        <w:widowControl w:val="0"/>
        <w:shd w:val="clear" w:color="auto" w:fill="auto"/>
        <w:tabs>
          <w:tab w:val="left" w:pos="1344"/>
        </w:tabs>
        <w:kinsoku/>
        <w:wordWrap/>
        <w:overflowPunct/>
        <w:topLinePunct w:val="0"/>
        <w:autoSpaceDE/>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bCs/>
          <w:sz w:val="32"/>
          <w:szCs w:val="32"/>
        </w:rPr>
      </w:pPr>
      <w:bookmarkStart w:id="31" w:name="bookmark74"/>
      <w:r>
        <w:rPr>
          <w:rFonts w:hint="eastAsia" w:ascii="仿宋_GB2312" w:hAnsi="仿宋_GB2312" w:eastAsia="仿宋_GB2312" w:cs="仿宋_GB2312"/>
          <w:b/>
          <w:bCs/>
          <w:color w:val="000000"/>
          <w:spacing w:val="0"/>
          <w:w w:val="100"/>
          <w:position w:val="0"/>
          <w:sz w:val="32"/>
          <w:szCs w:val="32"/>
        </w:rPr>
        <w:t>四</w:t>
      </w:r>
      <w:bookmarkEnd w:id="31"/>
      <w:r>
        <w:rPr>
          <w:rFonts w:hint="eastAsia" w:ascii="仿宋_GB2312" w:hAnsi="仿宋_GB2312" w:eastAsia="仿宋_GB2312" w:cs="仿宋_GB2312"/>
          <w:b/>
          <w:bCs/>
          <w:color w:val="000000"/>
          <w:spacing w:val="0"/>
          <w:w w:val="100"/>
          <w:position w:val="0"/>
          <w:sz w:val="32"/>
          <w:szCs w:val="32"/>
        </w:rPr>
        <w:t>、</w:t>
      </w:r>
      <w:r>
        <w:rPr>
          <w:rFonts w:hint="eastAsia" w:ascii="仿宋_GB2312" w:hAnsi="仿宋_GB2312" w:eastAsia="仿宋_GB2312" w:cs="仿宋_GB2312"/>
          <w:b/>
          <w:bCs/>
          <w:color w:val="000000"/>
          <w:spacing w:val="0"/>
          <w:w w:val="100"/>
          <w:position w:val="0"/>
          <w:sz w:val="32"/>
          <w:szCs w:val="32"/>
        </w:rPr>
        <w:tab/>
      </w:r>
      <w:r>
        <w:rPr>
          <w:rFonts w:hint="eastAsia" w:ascii="仿宋_GB2312" w:hAnsi="仿宋_GB2312" w:eastAsia="仿宋_GB2312" w:cs="仿宋_GB2312"/>
          <w:b/>
          <w:bCs/>
          <w:color w:val="000000"/>
          <w:spacing w:val="0"/>
          <w:w w:val="100"/>
          <w:position w:val="0"/>
          <w:sz w:val="32"/>
          <w:szCs w:val="32"/>
        </w:rPr>
        <w:t>奖项设置</w:t>
      </w:r>
    </w:p>
    <w:p>
      <w:pPr>
        <w:pStyle w:val="5"/>
        <w:keepNext w:val="0"/>
        <w:keepLines w:val="0"/>
        <w:pageBreakBefore w:val="0"/>
        <w:widowControl w:val="0"/>
        <w:numPr>
          <w:ilvl w:val="0"/>
          <w:numId w:val="0"/>
        </w:numPr>
        <w:shd w:val="clear" w:color="auto" w:fill="auto"/>
        <w:tabs>
          <w:tab w:val="left" w:pos="1069"/>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32" w:name="bookmark75"/>
      <w:bookmarkEnd w:id="32"/>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本赛道设置金奖、银奖、铜奖，中国大陆参赛项目设金奖150个、银奖350个、铜奖1000个，中国港澳台地区参赛项目设金奖5个、银奖15个、铜奖另定，国际参赛项目设金奖50个、银奖100个、铜奖350个。</w:t>
      </w:r>
    </w:p>
    <w:p>
      <w:pPr>
        <w:pStyle w:val="5"/>
        <w:keepNext w:val="0"/>
        <w:keepLines w:val="0"/>
        <w:pageBreakBefore w:val="0"/>
        <w:widowControl w:val="0"/>
        <w:numPr>
          <w:ilvl w:val="0"/>
          <w:numId w:val="0"/>
        </w:numPr>
        <w:shd w:val="clear" w:color="auto" w:fill="auto"/>
        <w:tabs>
          <w:tab w:val="left" w:pos="1054"/>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33" w:name="bookmark76"/>
      <w:bookmarkEnd w:id="33"/>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本赛道设置最佳带动就业奖、最佳创意奖、最具商业 价值奖、最具人气奖等若干单项奖。</w:t>
      </w:r>
    </w:p>
    <w:p>
      <w:pPr>
        <w:pStyle w:val="5"/>
        <w:keepNext w:val="0"/>
        <w:keepLines w:val="0"/>
        <w:pageBreakBefore w:val="0"/>
        <w:widowControl w:val="0"/>
        <w:numPr>
          <w:ilvl w:val="0"/>
          <w:numId w:val="0"/>
        </w:numPr>
        <w:shd w:val="clear" w:color="auto" w:fill="auto"/>
        <w:tabs>
          <w:tab w:val="left" w:pos="1120"/>
        </w:tabs>
        <w:kinsoku/>
        <w:wordWrap/>
        <w:overflowPunct/>
        <w:topLinePunct w:val="0"/>
        <w:autoSpaceDE/>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34" w:name="bookmark77"/>
      <w:bookmarkEnd w:id="34"/>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本赛道设置高校集体奖20个、省市优秀组织奖10个 （与职教赛道合并计算）和优秀创新创业导师若干名。</w:t>
      </w:r>
      <w:bookmarkStart w:id="35" w:name="bookmark78"/>
    </w:p>
    <w:p>
      <w:pPr>
        <w:pStyle w:val="5"/>
        <w:keepNext w:val="0"/>
        <w:keepLines w:val="0"/>
        <w:pageBreakBefore w:val="0"/>
        <w:widowControl w:val="0"/>
        <w:shd w:val="clear" w:color="auto" w:fill="auto"/>
        <w:tabs>
          <w:tab w:val="left" w:pos="1344"/>
        </w:tabs>
        <w:kinsoku/>
        <w:wordWrap/>
        <w:overflowPunct/>
        <w:topLinePunct w:val="0"/>
        <w:autoSpaceDE/>
        <w:bidi w:val="0"/>
        <w:adjustRightInd/>
        <w:snapToGrid/>
        <w:spacing w:before="0" w:after="0" w:line="560"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五</w:t>
      </w:r>
      <w:bookmarkEnd w:id="35"/>
      <w:r>
        <w:rPr>
          <w:rFonts w:hint="eastAsia" w:ascii="仿宋_GB2312" w:hAnsi="仿宋_GB2312" w:eastAsia="仿宋_GB2312" w:cs="仿宋_GB2312"/>
          <w:b/>
          <w:bCs/>
          <w:color w:val="000000"/>
          <w:spacing w:val="0"/>
          <w:w w:val="100"/>
          <w:position w:val="0"/>
          <w:sz w:val="32"/>
          <w:szCs w:val="32"/>
        </w:rPr>
        <w:t>、</w:t>
      </w:r>
      <w:r>
        <w:rPr>
          <w:rFonts w:hint="eastAsia" w:ascii="仿宋_GB2312" w:hAnsi="仿宋_GB2312" w:eastAsia="仿宋_GB2312" w:cs="仿宋_GB2312"/>
          <w:b/>
          <w:bCs/>
          <w:color w:val="000000"/>
          <w:spacing w:val="0"/>
          <w:w w:val="100"/>
          <w:position w:val="0"/>
          <w:sz w:val="32"/>
          <w:szCs w:val="32"/>
        </w:rPr>
        <w:tab/>
      </w:r>
      <w:r>
        <w:rPr>
          <w:rFonts w:hint="eastAsia" w:ascii="仿宋_GB2312" w:hAnsi="仿宋_GB2312" w:eastAsia="仿宋_GB2312" w:cs="仿宋_GB2312"/>
          <w:b/>
          <w:bCs/>
          <w:color w:val="000000"/>
          <w:spacing w:val="0"/>
          <w:w w:val="100"/>
          <w:position w:val="0"/>
          <w:sz w:val="32"/>
          <w:szCs w:val="32"/>
        </w:rPr>
        <w:t>其他</w:t>
      </w:r>
    </w:p>
    <w:p>
      <w:pPr>
        <w:pStyle w:val="5"/>
        <w:keepNext w:val="0"/>
        <w:keepLines w:val="0"/>
        <w:pageBreakBefore w:val="0"/>
        <w:widowControl w:val="0"/>
        <w:shd w:val="clear" w:color="auto" w:fill="auto"/>
        <w:kinsoku/>
        <w:wordWrap/>
        <w:overflowPunct/>
        <w:topLinePunct w:val="0"/>
        <w:autoSpaceDE/>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 xml:space="preserve">本附件所涉及条款的最终解释权，归第七届中国国际 </w:t>
      </w:r>
      <w:r>
        <w:rPr>
          <w:rFonts w:hint="eastAsia" w:ascii="仿宋_GB2312" w:hAnsi="仿宋_GB2312" w:eastAsia="仿宋_GB2312" w:cs="仿宋_GB2312"/>
          <w:color w:val="000000"/>
          <w:spacing w:val="0"/>
          <w:w w:val="100"/>
          <w:position w:val="0"/>
          <w:sz w:val="32"/>
          <w:szCs w:val="32"/>
          <w:lang w:val="zh-CN" w:eastAsia="zh-CN" w:bidi="zh-CN"/>
        </w:rPr>
        <w:t>“互</w:t>
      </w:r>
      <w:r>
        <w:rPr>
          <w:rFonts w:hint="eastAsia" w:ascii="仿宋_GB2312" w:hAnsi="仿宋_GB2312" w:eastAsia="仿宋_GB2312" w:cs="仿宋_GB2312"/>
          <w:color w:val="000000"/>
          <w:spacing w:val="0"/>
          <w:w w:val="100"/>
          <w:position w:val="0"/>
          <w:sz w:val="32"/>
          <w:szCs w:val="32"/>
        </w:rPr>
        <w:t>联网</w:t>
      </w:r>
      <w:r>
        <w:rPr>
          <w:rFonts w:hint="eastAsia" w:ascii="仿宋_GB2312" w:hAnsi="仿宋_GB2312" w:eastAsia="仿宋_GB2312" w:cs="仿宋_GB2312"/>
          <w:color w:val="000000"/>
          <w:spacing w:val="0"/>
          <w:w w:val="100"/>
          <w:position w:val="0"/>
          <w:sz w:val="32"/>
          <w:szCs w:val="32"/>
          <w:lang w:val="en-US" w:eastAsia="en-US" w:bidi="en-US"/>
        </w:rPr>
        <w:t>+ "</w:t>
      </w:r>
      <w:r>
        <w:rPr>
          <w:rFonts w:hint="eastAsia" w:ascii="仿宋_GB2312" w:hAnsi="仿宋_GB2312" w:eastAsia="仿宋_GB2312" w:cs="仿宋_GB2312"/>
          <w:color w:val="000000"/>
          <w:spacing w:val="0"/>
          <w:w w:val="100"/>
          <w:position w:val="0"/>
          <w:sz w:val="32"/>
          <w:szCs w:val="32"/>
        </w:rPr>
        <w:t>大学生创新创业大赛组委会所有。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5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520" w:line="696"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2021-05-10T10:08:35Z</dcterms:created>
  <dc:creator>DELL</dc:creator>
  <cp:lastModifiedBy>WPS_1553217667</cp:lastModifiedBy>
  <dcterms:modified xsi:type="dcterms:W3CDTF">2021-05-10T10:08:44Z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